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1A3493" w:rsidRDefault="001A3493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307574">
        <w:rPr>
          <w:rFonts w:ascii="Times New Roman" w:hAnsi="Times New Roman" w:cs="Times New Roman"/>
          <w:b/>
          <w:sz w:val="28"/>
          <w:szCs w:val="28"/>
        </w:rPr>
        <w:t>теме: Области использования сварочной дуги</w:t>
      </w:r>
    </w:p>
    <w:p w:rsidR="00A103DC" w:rsidRDefault="00307574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02.04</w:t>
      </w:r>
      <w:r w:rsidR="00A103DC">
        <w:rPr>
          <w:rFonts w:ascii="Times New Roman" w:hAnsi="Times New Roman" w:cs="Times New Roman"/>
          <w:b/>
          <w:sz w:val="28"/>
          <w:szCs w:val="28"/>
        </w:rPr>
        <w:t>.</w:t>
      </w:r>
      <w:r w:rsidR="00A103DC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электродуговой сварки и резки металла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Pr="00FF7ADC" w:rsidRDefault="00307574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Области использования сварочной дуги</w:t>
      </w:r>
    </w:p>
    <w:p w:rsidR="00114EB1" w:rsidRPr="00114EB1" w:rsidRDefault="00114EB1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C9226D" w:rsidRDefault="00C9226D" w:rsidP="00C92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  При сварке неплавящимся вольфрамовым электродом применяется защитный газ:</w:t>
      </w:r>
    </w:p>
    <w:p w:rsidR="00C9226D" w:rsidRDefault="00C9226D" w:rsidP="00C92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углекислый;               3) азот;</w:t>
      </w:r>
    </w:p>
    <w:p w:rsidR="00C9226D" w:rsidRDefault="00C9226D" w:rsidP="00C92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   аргон;                          4) водород.</w:t>
      </w:r>
    </w:p>
    <w:p w:rsidR="00C9226D" w:rsidRDefault="00C9226D" w:rsidP="00C92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  Для сварки меди используют газ, являющийся по отношению к ней инертным газом:</w:t>
      </w:r>
    </w:p>
    <w:p w:rsidR="00C9226D" w:rsidRDefault="00C9226D" w:rsidP="00C92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 углекислый;               3) азот;</w:t>
      </w:r>
    </w:p>
    <w:p w:rsidR="00C9226D" w:rsidRDefault="00C9226D" w:rsidP="00C92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    аргон;                         4) водород.</w:t>
      </w:r>
    </w:p>
    <w:p w:rsidR="00C9226D" w:rsidRDefault="00C9226D" w:rsidP="00C92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Баллон для аргона окрашивают в цвет:</w:t>
      </w:r>
    </w:p>
    <w:p w:rsidR="00C9226D" w:rsidRDefault="00C9226D" w:rsidP="00C92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    белый;            3) красный;</w:t>
      </w:r>
    </w:p>
    <w:p w:rsidR="00C9226D" w:rsidRPr="00C9226D" w:rsidRDefault="00C9226D" w:rsidP="00C92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       серый;             4) черный.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C9226D">
        <w:rPr>
          <w:rFonts w:ascii="Times New Roman" w:hAnsi="Times New Roman" w:cs="Times New Roman"/>
          <w:sz w:val="28"/>
          <w:szCs w:val="28"/>
        </w:rPr>
        <w:t>емпература плавления вольфрама: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226D">
        <w:rPr>
          <w:rFonts w:ascii="Times New Roman" w:hAnsi="Times New Roman" w:cs="Times New Roman"/>
          <w:sz w:val="28"/>
          <w:szCs w:val="28"/>
        </w:rPr>
        <w:t>660</w:t>
      </w:r>
      <w:proofErr w:type="gramStart"/>
      <w:r w:rsidRPr="00C9226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922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226D">
        <w:rPr>
          <w:rFonts w:ascii="Times New Roman" w:hAnsi="Times New Roman" w:cs="Times New Roman"/>
          <w:sz w:val="28"/>
          <w:szCs w:val="28"/>
        </w:rPr>
        <w:t xml:space="preserve"> 2) 1539 °С;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226D">
        <w:rPr>
          <w:rFonts w:ascii="Times New Roman" w:hAnsi="Times New Roman" w:cs="Times New Roman"/>
          <w:sz w:val="28"/>
          <w:szCs w:val="28"/>
        </w:rPr>
        <w:t xml:space="preserve">3) 1668°С;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226D">
        <w:rPr>
          <w:rFonts w:ascii="Times New Roman" w:hAnsi="Times New Roman" w:cs="Times New Roman"/>
          <w:sz w:val="28"/>
          <w:szCs w:val="28"/>
        </w:rPr>
        <w:t>4) 3380°С.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5.</w:t>
      </w:r>
      <w:r w:rsidRPr="00C9226D">
        <w:rPr>
          <w:rFonts w:ascii="Times New Roman" w:hAnsi="Times New Roman" w:cs="Times New Roman"/>
          <w:sz w:val="28"/>
          <w:szCs w:val="28"/>
        </w:rPr>
        <w:tab/>
        <w:t>Расход вольфрама на 1 м шва при сварке алюминиевых сплавов толщиной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226D">
        <w:rPr>
          <w:rFonts w:ascii="Times New Roman" w:hAnsi="Times New Roman" w:cs="Times New Roman"/>
          <w:sz w:val="28"/>
          <w:szCs w:val="28"/>
        </w:rPr>
        <w:t xml:space="preserve"> 4 мм составляет примерно: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226D">
        <w:rPr>
          <w:rFonts w:ascii="Times New Roman" w:hAnsi="Times New Roman" w:cs="Times New Roman"/>
          <w:sz w:val="28"/>
          <w:szCs w:val="28"/>
        </w:rPr>
        <w:t xml:space="preserve">0,1 г;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26D">
        <w:rPr>
          <w:rFonts w:ascii="Times New Roman" w:hAnsi="Times New Roman" w:cs="Times New Roman"/>
          <w:sz w:val="28"/>
          <w:szCs w:val="28"/>
        </w:rPr>
        <w:t>2) 0,5 г;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26D">
        <w:rPr>
          <w:rFonts w:ascii="Times New Roman" w:hAnsi="Times New Roman" w:cs="Times New Roman"/>
          <w:sz w:val="28"/>
          <w:szCs w:val="28"/>
        </w:rPr>
        <w:t xml:space="preserve"> 3) 1 г;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26D">
        <w:rPr>
          <w:rFonts w:ascii="Times New Roman" w:hAnsi="Times New Roman" w:cs="Times New Roman"/>
          <w:sz w:val="28"/>
          <w:szCs w:val="28"/>
        </w:rPr>
        <w:t>4) 5 г.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6.</w:t>
      </w:r>
      <w:r w:rsidRPr="00C9226D">
        <w:rPr>
          <w:rFonts w:ascii="Times New Roman" w:hAnsi="Times New Roman" w:cs="Times New Roman"/>
          <w:sz w:val="28"/>
          <w:szCs w:val="28"/>
        </w:rPr>
        <w:tab/>
        <w:t xml:space="preserve">Расход вольфрама на </w:t>
      </w:r>
      <w:r w:rsidR="00B8756F">
        <w:rPr>
          <w:rFonts w:ascii="Times New Roman" w:hAnsi="Times New Roman" w:cs="Times New Roman"/>
          <w:sz w:val="28"/>
          <w:szCs w:val="28"/>
        </w:rPr>
        <w:t xml:space="preserve">1 м шва при сварке </w:t>
      </w:r>
      <w:proofErr w:type="spellStart"/>
      <w:r w:rsidR="00B8756F">
        <w:rPr>
          <w:rFonts w:ascii="Times New Roman" w:hAnsi="Times New Roman" w:cs="Times New Roman"/>
          <w:sz w:val="28"/>
          <w:szCs w:val="28"/>
        </w:rPr>
        <w:t>коррозионно</w:t>
      </w:r>
      <w:r w:rsidRPr="00C9226D">
        <w:rPr>
          <w:rFonts w:ascii="Times New Roman" w:hAnsi="Times New Roman" w:cs="Times New Roman"/>
          <w:sz w:val="28"/>
          <w:szCs w:val="28"/>
        </w:rPr>
        <w:t>стойких</w:t>
      </w:r>
      <w:proofErr w:type="spellEnd"/>
      <w:r w:rsidRPr="00C9226D">
        <w:rPr>
          <w:rFonts w:ascii="Times New Roman" w:hAnsi="Times New Roman" w:cs="Times New Roman"/>
          <w:sz w:val="28"/>
          <w:szCs w:val="28"/>
        </w:rPr>
        <w:t xml:space="preserve"> сталей толщиной 4 мм составляет примерно: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1)</w:t>
      </w:r>
      <w:r w:rsidRPr="00C9226D">
        <w:rPr>
          <w:rFonts w:ascii="Times New Roman" w:hAnsi="Times New Roman" w:cs="Times New Roman"/>
          <w:sz w:val="28"/>
          <w:szCs w:val="28"/>
        </w:rPr>
        <w:tab/>
        <w:t xml:space="preserve">0,1 г; </w:t>
      </w:r>
      <w:r w:rsidR="00B8756F">
        <w:rPr>
          <w:rFonts w:ascii="Times New Roman" w:hAnsi="Times New Roman" w:cs="Times New Roman"/>
          <w:sz w:val="28"/>
          <w:szCs w:val="28"/>
        </w:rPr>
        <w:t xml:space="preserve">     </w:t>
      </w:r>
      <w:r w:rsidRPr="00C9226D">
        <w:rPr>
          <w:rFonts w:ascii="Times New Roman" w:hAnsi="Times New Roman" w:cs="Times New Roman"/>
          <w:sz w:val="28"/>
          <w:szCs w:val="28"/>
        </w:rPr>
        <w:t xml:space="preserve">2)0,5 г; </w:t>
      </w:r>
      <w:r w:rsidR="00B8756F">
        <w:rPr>
          <w:rFonts w:ascii="Times New Roman" w:hAnsi="Times New Roman" w:cs="Times New Roman"/>
          <w:sz w:val="28"/>
          <w:szCs w:val="28"/>
        </w:rPr>
        <w:t xml:space="preserve">     </w:t>
      </w:r>
      <w:r w:rsidRPr="00C9226D">
        <w:rPr>
          <w:rFonts w:ascii="Times New Roman" w:hAnsi="Times New Roman" w:cs="Times New Roman"/>
          <w:sz w:val="28"/>
          <w:szCs w:val="28"/>
        </w:rPr>
        <w:t xml:space="preserve">3) 1 г; </w:t>
      </w:r>
      <w:r w:rsidR="00B8756F">
        <w:rPr>
          <w:rFonts w:ascii="Times New Roman" w:hAnsi="Times New Roman" w:cs="Times New Roman"/>
          <w:sz w:val="28"/>
          <w:szCs w:val="28"/>
        </w:rPr>
        <w:t xml:space="preserve">    </w:t>
      </w:r>
      <w:r w:rsidRPr="00C9226D">
        <w:rPr>
          <w:rFonts w:ascii="Times New Roman" w:hAnsi="Times New Roman" w:cs="Times New Roman"/>
          <w:sz w:val="28"/>
          <w:szCs w:val="28"/>
        </w:rPr>
        <w:t>4) 5 г.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7.</w:t>
      </w:r>
      <w:r w:rsidRPr="00C9226D">
        <w:rPr>
          <w:rFonts w:ascii="Times New Roman" w:hAnsi="Times New Roman" w:cs="Times New Roman"/>
          <w:sz w:val="28"/>
          <w:szCs w:val="28"/>
        </w:rPr>
        <w:tab/>
        <w:t>Расход электродов п</w:t>
      </w:r>
      <w:r w:rsidR="00B8756F">
        <w:rPr>
          <w:rFonts w:ascii="Times New Roman" w:hAnsi="Times New Roman" w:cs="Times New Roman"/>
          <w:sz w:val="28"/>
          <w:szCs w:val="28"/>
        </w:rPr>
        <w:t>ри сварке переменным током боль</w:t>
      </w:r>
      <w:r w:rsidRPr="00C9226D">
        <w:rPr>
          <w:rFonts w:ascii="Times New Roman" w:hAnsi="Times New Roman" w:cs="Times New Roman"/>
          <w:sz w:val="28"/>
          <w:szCs w:val="28"/>
        </w:rPr>
        <w:t>ше, чем постоянным примерно в: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1)</w:t>
      </w:r>
      <w:r w:rsidRPr="00C9226D">
        <w:rPr>
          <w:rFonts w:ascii="Times New Roman" w:hAnsi="Times New Roman" w:cs="Times New Roman"/>
          <w:sz w:val="28"/>
          <w:szCs w:val="28"/>
        </w:rPr>
        <w:tab/>
        <w:t xml:space="preserve">0,5 раза; </w:t>
      </w:r>
      <w:r w:rsidR="00B8756F">
        <w:rPr>
          <w:rFonts w:ascii="Times New Roman" w:hAnsi="Times New Roman" w:cs="Times New Roman"/>
          <w:sz w:val="28"/>
          <w:szCs w:val="28"/>
        </w:rPr>
        <w:t xml:space="preserve">      </w:t>
      </w:r>
      <w:r w:rsidRPr="00C9226D">
        <w:rPr>
          <w:rFonts w:ascii="Times New Roman" w:hAnsi="Times New Roman" w:cs="Times New Roman"/>
          <w:sz w:val="28"/>
          <w:szCs w:val="28"/>
        </w:rPr>
        <w:t>2) 1,5 раза;</w:t>
      </w:r>
      <w:r w:rsidR="00B875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226D">
        <w:rPr>
          <w:rFonts w:ascii="Times New Roman" w:hAnsi="Times New Roman" w:cs="Times New Roman"/>
          <w:sz w:val="28"/>
          <w:szCs w:val="28"/>
        </w:rPr>
        <w:t xml:space="preserve"> 3) 3 раза; </w:t>
      </w:r>
      <w:r w:rsidR="00B8756F">
        <w:rPr>
          <w:rFonts w:ascii="Times New Roman" w:hAnsi="Times New Roman" w:cs="Times New Roman"/>
          <w:sz w:val="28"/>
          <w:szCs w:val="28"/>
        </w:rPr>
        <w:t xml:space="preserve">      </w:t>
      </w:r>
      <w:r w:rsidRPr="00C9226D">
        <w:rPr>
          <w:rFonts w:ascii="Times New Roman" w:hAnsi="Times New Roman" w:cs="Times New Roman"/>
          <w:sz w:val="28"/>
          <w:szCs w:val="28"/>
        </w:rPr>
        <w:t>4) 5 раз.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8.</w:t>
      </w:r>
      <w:r w:rsidRPr="00C9226D">
        <w:rPr>
          <w:rFonts w:ascii="Times New Roman" w:hAnsi="Times New Roman" w:cs="Times New Roman"/>
          <w:sz w:val="28"/>
          <w:szCs w:val="28"/>
        </w:rPr>
        <w:tab/>
        <w:t>Для ручной дуговой сварки вольфрамовым электродом большинства металлов используют: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1)</w:t>
      </w:r>
      <w:r w:rsidRPr="00C9226D">
        <w:rPr>
          <w:rFonts w:ascii="Times New Roman" w:hAnsi="Times New Roman" w:cs="Times New Roman"/>
          <w:sz w:val="28"/>
          <w:szCs w:val="28"/>
        </w:rPr>
        <w:tab/>
        <w:t>постоянный ток прямой полярности;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9226D">
        <w:rPr>
          <w:rFonts w:ascii="Times New Roman" w:hAnsi="Times New Roman" w:cs="Times New Roman"/>
          <w:sz w:val="28"/>
          <w:szCs w:val="28"/>
        </w:rPr>
        <w:tab/>
        <w:t>постоянный ток обратной полярности;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3)</w:t>
      </w:r>
      <w:r w:rsidRPr="00C9226D">
        <w:rPr>
          <w:rFonts w:ascii="Times New Roman" w:hAnsi="Times New Roman" w:cs="Times New Roman"/>
          <w:sz w:val="28"/>
          <w:szCs w:val="28"/>
        </w:rPr>
        <w:tab/>
        <w:t>переменный ток;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4)</w:t>
      </w:r>
      <w:r w:rsidRPr="00C9226D">
        <w:rPr>
          <w:rFonts w:ascii="Times New Roman" w:hAnsi="Times New Roman" w:cs="Times New Roman"/>
          <w:sz w:val="28"/>
          <w:szCs w:val="28"/>
        </w:rPr>
        <w:tab/>
        <w:t>сварку в углекислом газе.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9.</w:t>
      </w:r>
      <w:r w:rsidRPr="00C9226D">
        <w:rPr>
          <w:rFonts w:ascii="Times New Roman" w:hAnsi="Times New Roman" w:cs="Times New Roman"/>
          <w:sz w:val="28"/>
          <w:szCs w:val="28"/>
        </w:rPr>
        <w:tab/>
        <w:t>Для ручной дуговой сварки вольфрамовым электродом алюминия и магния используют: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1)</w:t>
      </w:r>
      <w:r w:rsidRPr="00C9226D">
        <w:rPr>
          <w:rFonts w:ascii="Times New Roman" w:hAnsi="Times New Roman" w:cs="Times New Roman"/>
          <w:sz w:val="28"/>
          <w:szCs w:val="28"/>
        </w:rPr>
        <w:tab/>
        <w:t>постоянный ток прямой полярности;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2)</w:t>
      </w:r>
      <w:r w:rsidRPr="00C9226D">
        <w:rPr>
          <w:rFonts w:ascii="Times New Roman" w:hAnsi="Times New Roman" w:cs="Times New Roman"/>
          <w:sz w:val="28"/>
          <w:szCs w:val="28"/>
        </w:rPr>
        <w:tab/>
        <w:t>постоянный ток обратной полярности;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3)</w:t>
      </w:r>
      <w:r w:rsidRPr="00C9226D">
        <w:rPr>
          <w:rFonts w:ascii="Times New Roman" w:hAnsi="Times New Roman" w:cs="Times New Roman"/>
          <w:sz w:val="28"/>
          <w:szCs w:val="28"/>
        </w:rPr>
        <w:tab/>
        <w:t>переменный ток;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4)</w:t>
      </w:r>
      <w:r w:rsidRPr="00C9226D">
        <w:rPr>
          <w:rFonts w:ascii="Times New Roman" w:hAnsi="Times New Roman" w:cs="Times New Roman"/>
          <w:sz w:val="28"/>
          <w:szCs w:val="28"/>
        </w:rPr>
        <w:tab/>
        <w:t>газовую сварку.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10.</w:t>
      </w:r>
      <w:r w:rsidRPr="00C9226D">
        <w:rPr>
          <w:rFonts w:ascii="Times New Roman" w:hAnsi="Times New Roman" w:cs="Times New Roman"/>
          <w:sz w:val="28"/>
          <w:szCs w:val="28"/>
        </w:rPr>
        <w:tab/>
        <w:t>При дуговой сва</w:t>
      </w:r>
      <w:r w:rsidR="00B8756F">
        <w:rPr>
          <w:rFonts w:ascii="Times New Roman" w:hAnsi="Times New Roman" w:cs="Times New Roman"/>
          <w:sz w:val="28"/>
          <w:szCs w:val="28"/>
        </w:rPr>
        <w:t>рке алюминия неплавящимся элект</w:t>
      </w:r>
      <w:r w:rsidRPr="00C9226D">
        <w:rPr>
          <w:rFonts w:ascii="Times New Roman" w:hAnsi="Times New Roman" w:cs="Times New Roman"/>
          <w:sz w:val="28"/>
          <w:szCs w:val="28"/>
        </w:rPr>
        <w:t>родом для устойчивого горения дуги примен</w:t>
      </w:r>
      <w:r w:rsidR="00B8756F">
        <w:rPr>
          <w:rFonts w:ascii="Times New Roman" w:hAnsi="Times New Roman" w:cs="Times New Roman"/>
          <w:sz w:val="28"/>
          <w:szCs w:val="28"/>
        </w:rPr>
        <w:t>яют устрой</w:t>
      </w:r>
      <w:r w:rsidRPr="00C9226D">
        <w:rPr>
          <w:rFonts w:ascii="Times New Roman" w:hAnsi="Times New Roman" w:cs="Times New Roman"/>
          <w:sz w:val="28"/>
          <w:szCs w:val="28"/>
        </w:rPr>
        <w:t>ство, которое называют: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1)</w:t>
      </w:r>
      <w:r w:rsidRPr="00C9226D">
        <w:rPr>
          <w:rFonts w:ascii="Times New Roman" w:hAnsi="Times New Roman" w:cs="Times New Roman"/>
          <w:sz w:val="28"/>
          <w:szCs w:val="28"/>
        </w:rPr>
        <w:tab/>
        <w:t xml:space="preserve"> осциллятор;</w:t>
      </w:r>
      <w:r w:rsidRPr="00C9226D">
        <w:rPr>
          <w:rFonts w:ascii="Times New Roman" w:hAnsi="Times New Roman" w:cs="Times New Roman"/>
          <w:sz w:val="28"/>
          <w:szCs w:val="28"/>
        </w:rPr>
        <w:tab/>
      </w:r>
      <w:r w:rsidR="00B875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226D">
        <w:rPr>
          <w:rFonts w:ascii="Times New Roman" w:hAnsi="Times New Roman" w:cs="Times New Roman"/>
          <w:sz w:val="28"/>
          <w:szCs w:val="28"/>
        </w:rPr>
        <w:t>3) прерыватель:</w:t>
      </w:r>
    </w:p>
    <w:p w:rsidR="00C9226D" w:rsidRPr="00C9226D" w:rsidRDefault="00C9226D" w:rsidP="00C9226D">
      <w:pPr>
        <w:rPr>
          <w:rFonts w:ascii="Times New Roman" w:hAnsi="Times New Roman" w:cs="Times New Roman"/>
          <w:sz w:val="28"/>
          <w:szCs w:val="28"/>
        </w:rPr>
      </w:pPr>
      <w:r w:rsidRPr="00C9226D">
        <w:rPr>
          <w:rFonts w:ascii="Times New Roman" w:hAnsi="Times New Roman" w:cs="Times New Roman"/>
          <w:sz w:val="28"/>
          <w:szCs w:val="28"/>
        </w:rPr>
        <w:t>2)</w:t>
      </w:r>
      <w:r w:rsidRPr="00C9226D">
        <w:rPr>
          <w:rFonts w:ascii="Times New Roman" w:hAnsi="Times New Roman" w:cs="Times New Roman"/>
          <w:sz w:val="28"/>
          <w:szCs w:val="28"/>
        </w:rPr>
        <w:tab/>
        <w:t xml:space="preserve"> балластный реостат;</w:t>
      </w:r>
      <w:r w:rsidRPr="00C9226D">
        <w:rPr>
          <w:rFonts w:ascii="Times New Roman" w:hAnsi="Times New Roman" w:cs="Times New Roman"/>
          <w:sz w:val="28"/>
          <w:szCs w:val="28"/>
        </w:rPr>
        <w:tab/>
        <w:t>4) инвертор.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B8756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B8756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B8756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B8756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B8756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B8756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B875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B875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6EA7"/>
    <w:multiLevelType w:val="hybridMultilevel"/>
    <w:tmpl w:val="744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A3493"/>
    <w:rsid w:val="001E7673"/>
    <w:rsid w:val="00264FAB"/>
    <w:rsid w:val="00307574"/>
    <w:rsid w:val="003A7A3B"/>
    <w:rsid w:val="003D30EA"/>
    <w:rsid w:val="004A2079"/>
    <w:rsid w:val="00502AD7"/>
    <w:rsid w:val="00531B97"/>
    <w:rsid w:val="00676278"/>
    <w:rsid w:val="00A103DC"/>
    <w:rsid w:val="00B8756F"/>
    <w:rsid w:val="00C9226D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530D-3AE0-4D95-ADAB-0FAF59F4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Области использования сварочной дуги</dc:subject>
  <dc:creator>Баранов В.И.</dc:creator>
  <cp:keywords/>
  <dc:description/>
  <cp:lastModifiedBy>User</cp:lastModifiedBy>
  <cp:revision>7</cp:revision>
  <dcterms:created xsi:type="dcterms:W3CDTF">2014-11-01T02:27:00Z</dcterms:created>
  <dcterms:modified xsi:type="dcterms:W3CDTF">2014-11-01T14:42:00Z</dcterms:modified>
</cp:coreProperties>
</file>