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«Талицкий лесотехнический колледж им.Н.И.Кузнецова»</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15511A">
        <w:rPr>
          <w:rFonts w:ascii="Times New Roman" w:eastAsia="Times New Roman" w:hAnsi="Times New Roman" w:cs="Times New Roman"/>
          <w:sz w:val="24"/>
          <w:szCs w:val="24"/>
        </w:rPr>
        <w:t>1</w:t>
      </w:r>
      <w:r w:rsidR="007B53FD">
        <w:rPr>
          <w:rFonts w:ascii="Times New Roman" w:eastAsia="Times New Roman" w:hAnsi="Times New Roman" w:cs="Times New Roman"/>
          <w:sz w:val="24"/>
          <w:szCs w:val="24"/>
        </w:rPr>
        <w:t>6</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7B53FD" w:rsidRPr="007B53FD">
        <w:rPr>
          <w:rFonts w:ascii="Times New Roman" w:eastAsia="Times New Roman" w:hAnsi="Times New Roman" w:cs="Times New Roman"/>
          <w:sz w:val="24"/>
          <w:szCs w:val="24"/>
        </w:rPr>
        <w:t>Учет затрат на восстановление основных средств</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Автор Добышева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70330E" w:rsidRPr="000A2A96" w:rsidRDefault="0070330E" w:rsidP="0070330E">
      <w:pPr>
        <w:spacing w:after="0"/>
        <w:jc w:val="both"/>
        <w:rPr>
          <w:rFonts w:ascii="Times New Roman" w:eastAsia="Times New Roman" w:hAnsi="Times New Roman" w:cs="Times New Roman"/>
          <w:b/>
          <w:i/>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i/>
          <w:sz w:val="24"/>
          <w:szCs w:val="24"/>
          <w:lang w:eastAsia="ru-RU"/>
        </w:rPr>
      </w:pPr>
      <w:r w:rsidRPr="000A2A96">
        <w:rPr>
          <w:rFonts w:ascii="Times New Roman" w:eastAsia="Times New Roman" w:hAnsi="Times New Roman" w:cs="Times New Roman"/>
          <w:b/>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Расчет стоимости ремонта основных средств. Решение ситуационных задач по созданию резерва на ремонт основных средств. Отражение затрат по ремонту основных средств в бухгалтерском и налоговом учете.</w:t>
      </w:r>
    </w:p>
    <w:p w:rsidR="007B53FD" w:rsidRPr="000A2A96" w:rsidRDefault="007B53FD" w:rsidP="007B53FD">
      <w:pPr>
        <w:spacing w:after="0"/>
        <w:ind w:firstLine="709"/>
        <w:jc w:val="both"/>
        <w:rPr>
          <w:rFonts w:ascii="Times New Roman" w:eastAsia="Times New Roman" w:hAnsi="Times New Roman" w:cs="Times New Roman"/>
          <w:b/>
          <w:i/>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учета затрат по ремонту основных средств</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Решить задачи №№ 1- 3.</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В ходе  проведения инвентаризации основных средств в декабре 2014 года был выявлен объект основных средств – токарный станок, нуждающийся в капитальном ремонте. Ремонт запланирован на март 2015 года.</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Составьте смету затрат на ремонт станка, используя следующие данные:</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-стоимость запасных частей для ремонта станка – 5 000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-заработная плата рабочих по нормативу – 10 000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-отчисления с заработной платы на социальное страхование и обеспечение – 3 000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-амортизация основных средств, используемых для ремонта станка – 800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-услуги сторонних организаций по ремонту станка по нескольким операциям – 12 000 рублей (без НДС). </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Смету оформите в таблице 1.</w:t>
      </w:r>
    </w:p>
    <w:p w:rsidR="007B53FD" w:rsidRPr="000A2A96" w:rsidRDefault="007B53FD" w:rsidP="007B53FD">
      <w:pPr>
        <w:spacing w:after="0"/>
        <w:jc w:val="right"/>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Таблица 1</w:t>
      </w:r>
    </w:p>
    <w:p w:rsidR="007B53FD" w:rsidRPr="000A2A96" w:rsidRDefault="007B53FD" w:rsidP="007B53FD">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Смета на выполнение ремонта токарного станка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970"/>
        <w:gridCol w:w="1560"/>
        <w:gridCol w:w="1417"/>
        <w:gridCol w:w="1418"/>
        <w:gridCol w:w="1984"/>
      </w:tblGrid>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п/п</w:t>
            </w: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Наименование затрат</w:t>
            </w: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Единица измерения</w:t>
            </w: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Количество</w:t>
            </w: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Цена, руб.</w:t>
            </w: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Сумма, руб.</w:t>
            </w: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c>
          <w:tcPr>
            <w:tcW w:w="54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297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Итого</w:t>
            </w:r>
          </w:p>
        </w:tc>
        <w:tc>
          <w:tcPr>
            <w:tcW w:w="156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7"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41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1984"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bl>
    <w:p w:rsidR="007B53FD" w:rsidRPr="000A2A96" w:rsidRDefault="007B53FD" w:rsidP="007B53FD">
      <w:pPr>
        <w:spacing w:after="0" w:line="240" w:lineRule="auto"/>
        <w:jc w:val="center"/>
        <w:rPr>
          <w:rFonts w:ascii="Times New Roman" w:eastAsia="Times New Roman" w:hAnsi="Times New Roman" w:cs="Times New Roman"/>
          <w:sz w:val="24"/>
          <w:szCs w:val="24"/>
          <w:lang w:eastAsia="ru-RU"/>
        </w:rPr>
      </w:pPr>
    </w:p>
    <w:p w:rsidR="007B53FD" w:rsidRPr="000A2A96" w:rsidRDefault="007B53FD" w:rsidP="007B53FD">
      <w:pPr>
        <w:spacing w:after="0"/>
        <w:jc w:val="both"/>
        <w:rPr>
          <w:rFonts w:ascii="Times New Roman" w:eastAsia="Times New Roman" w:hAnsi="Times New Roman" w:cs="Times New Roman"/>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i/>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i/>
          <w:sz w:val="24"/>
          <w:szCs w:val="24"/>
          <w:lang w:eastAsia="ru-RU"/>
        </w:rPr>
        <w:t>.</w:t>
      </w:r>
      <w:r w:rsidRPr="000A2A96">
        <w:rPr>
          <w:rFonts w:ascii="Times New Roman" w:eastAsia="Times New Roman" w:hAnsi="Times New Roman" w:cs="Times New Roman"/>
          <w:sz w:val="24"/>
          <w:szCs w:val="24"/>
          <w:lang w:eastAsia="ru-RU"/>
        </w:rPr>
        <w:t xml:space="preserve">Составьте   таблицу  «Характеристика метода включения ремонтных расходов в себестоимость  отчетного периода»                              </w:t>
      </w:r>
    </w:p>
    <w:p w:rsidR="007B53FD" w:rsidRPr="000A2A96" w:rsidRDefault="007B53FD" w:rsidP="007B53FD">
      <w:pPr>
        <w:spacing w:after="0"/>
        <w:jc w:val="both"/>
        <w:rPr>
          <w:rFonts w:ascii="Times New Roman" w:eastAsia="Times New Roman" w:hAnsi="Times New Roman" w:cs="Times New Roman"/>
          <w:sz w:val="24"/>
          <w:szCs w:val="24"/>
          <w:lang w:eastAsia="ru-RU"/>
        </w:rPr>
      </w:pPr>
    </w:p>
    <w:p w:rsidR="007B53FD" w:rsidRPr="000A2A96" w:rsidRDefault="007B53FD" w:rsidP="007B53FD">
      <w:p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 xml:space="preserve"> Таблица 2</w:t>
      </w:r>
    </w:p>
    <w:p w:rsidR="007B53FD" w:rsidRPr="000A2A96" w:rsidRDefault="007B53FD" w:rsidP="007B53FD">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Сравнительная характеристика методов ремонта основных средств</w:t>
      </w:r>
    </w:p>
    <w:tbl>
      <w:tblPr>
        <w:tblW w:w="9720"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2"/>
        <w:gridCol w:w="3210"/>
        <w:gridCol w:w="3398"/>
      </w:tblGrid>
      <w:tr w:rsidR="007B53FD" w:rsidRPr="000A2A96" w:rsidTr="00445B69">
        <w:trPr>
          <w:jc w:val="center"/>
        </w:trPr>
        <w:tc>
          <w:tcPr>
            <w:tcW w:w="3112"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Достоинства</w:t>
            </w:r>
          </w:p>
        </w:tc>
        <w:tc>
          <w:tcPr>
            <w:tcW w:w="321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Недостатки</w:t>
            </w:r>
          </w:p>
        </w:tc>
        <w:tc>
          <w:tcPr>
            <w:tcW w:w="339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Рекомендуемая сфера применения</w:t>
            </w:r>
          </w:p>
        </w:tc>
      </w:tr>
      <w:tr w:rsidR="007B53FD" w:rsidRPr="000A2A96" w:rsidTr="00445B69">
        <w:trPr>
          <w:jc w:val="center"/>
        </w:trPr>
        <w:tc>
          <w:tcPr>
            <w:tcW w:w="3112"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Хозяйственный способ</w:t>
            </w:r>
          </w:p>
        </w:tc>
        <w:tc>
          <w:tcPr>
            <w:tcW w:w="321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339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rPr>
          <w:jc w:val="center"/>
        </w:trPr>
        <w:tc>
          <w:tcPr>
            <w:tcW w:w="3112"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Подрядный способ</w:t>
            </w:r>
          </w:p>
        </w:tc>
        <w:tc>
          <w:tcPr>
            <w:tcW w:w="321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339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rPr>
          <w:jc w:val="center"/>
        </w:trPr>
        <w:tc>
          <w:tcPr>
            <w:tcW w:w="3112"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Создание резерва для ремонта основных средств</w:t>
            </w:r>
          </w:p>
        </w:tc>
        <w:tc>
          <w:tcPr>
            <w:tcW w:w="321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339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r w:rsidR="007B53FD" w:rsidRPr="000A2A96" w:rsidTr="00445B69">
        <w:trPr>
          <w:jc w:val="center"/>
        </w:trPr>
        <w:tc>
          <w:tcPr>
            <w:tcW w:w="3112"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Включение затрат на ремонт основных средств в затраты текущего месяца</w:t>
            </w:r>
          </w:p>
        </w:tc>
        <w:tc>
          <w:tcPr>
            <w:tcW w:w="3210"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c>
          <w:tcPr>
            <w:tcW w:w="3398" w:type="dxa"/>
          </w:tcPr>
          <w:p w:rsidR="007B53FD" w:rsidRPr="000A2A96" w:rsidRDefault="007B53FD" w:rsidP="00445B69">
            <w:pPr>
              <w:spacing w:after="0" w:line="240" w:lineRule="auto"/>
              <w:jc w:val="center"/>
              <w:rPr>
                <w:rFonts w:ascii="Times New Roman" w:eastAsia="Times New Roman" w:hAnsi="Times New Roman" w:cs="Times New Roman"/>
                <w:sz w:val="24"/>
                <w:szCs w:val="24"/>
                <w:lang w:eastAsia="ru-RU"/>
              </w:rPr>
            </w:pPr>
          </w:p>
        </w:tc>
      </w:tr>
    </w:tbl>
    <w:p w:rsidR="007B53FD" w:rsidRPr="000A2A96" w:rsidRDefault="007B53FD" w:rsidP="007B53FD">
      <w:pPr>
        <w:spacing w:after="0"/>
        <w:jc w:val="both"/>
        <w:rPr>
          <w:rFonts w:ascii="Times New Roman" w:eastAsia="Times New Roman" w:hAnsi="Times New Roman" w:cs="Times New Roman"/>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i/>
          <w:sz w:val="24"/>
          <w:szCs w:val="24"/>
          <w:lang w:eastAsia="ru-RU"/>
        </w:rPr>
      </w:pPr>
      <w:r w:rsidRPr="000A2A96">
        <w:rPr>
          <w:rFonts w:ascii="Times New Roman" w:eastAsia="Times New Roman" w:hAnsi="Times New Roman" w:cs="Times New Roman"/>
          <w:b/>
          <w:i/>
          <w:sz w:val="24"/>
          <w:szCs w:val="24"/>
          <w:lang w:eastAsia="ru-RU"/>
        </w:rPr>
        <w:t>Задача 3.</w:t>
      </w:r>
      <w:r w:rsidRPr="000A2A96">
        <w:rPr>
          <w:rFonts w:ascii="Times New Roman" w:eastAsia="Times New Roman" w:hAnsi="Times New Roman" w:cs="Times New Roman"/>
          <w:sz w:val="24"/>
          <w:szCs w:val="24"/>
          <w:lang w:eastAsia="ru-RU"/>
        </w:rPr>
        <w:t>Предприятие ООО «Салют» создает резерв на осуществление ремонтных работ. Согласно смете затраты на ремонт оборудования на предприятии в 2015 году должны составить 300 000рублей. Фактические расходы по ремонту основных средств  январе составили:</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-фактическая себестоимость материалов -12 000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-начисленная ремонтным рабочим заработная плата - 5 000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-отчисления с заработной платы -1 800 рублей.</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Отразите на счетах бухгалтерского учета операции по учету затрат на ремонт основных средств в январе 2015 года.</w:t>
      </w:r>
    </w:p>
    <w:p w:rsidR="007B53FD" w:rsidRPr="000A2A96" w:rsidRDefault="007B53FD" w:rsidP="007B53FD">
      <w:pPr>
        <w:spacing w:after="0"/>
        <w:ind w:firstLine="709"/>
        <w:jc w:val="both"/>
        <w:rPr>
          <w:rFonts w:ascii="Times New Roman" w:eastAsia="Times New Roman" w:hAnsi="Times New Roman" w:cs="Times New Roman"/>
          <w:i/>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4.</w:t>
      </w:r>
      <w:r w:rsidRPr="000A2A96">
        <w:rPr>
          <w:rFonts w:ascii="Times New Roman" w:eastAsia="Times New Roman" w:hAnsi="Times New Roman" w:cs="Times New Roman"/>
          <w:sz w:val="24"/>
          <w:szCs w:val="24"/>
          <w:lang w:eastAsia="ru-RU"/>
        </w:rPr>
        <w:t xml:space="preserve"> Составьте графическую схему  учета затрат на ремонт основных средств хозяйственным способом без создания резерва.</w:t>
      </w:r>
    </w:p>
    <w:p w:rsidR="007B53FD" w:rsidRPr="000A2A96" w:rsidRDefault="007B53FD" w:rsidP="007B53FD">
      <w:pPr>
        <w:spacing w:after="0"/>
        <w:ind w:firstLine="709"/>
        <w:jc w:val="both"/>
        <w:rPr>
          <w:rFonts w:ascii="Times New Roman" w:eastAsia="Times New Roman" w:hAnsi="Times New Roman" w:cs="Times New Roman"/>
          <w:sz w:val="24"/>
          <w:szCs w:val="24"/>
          <w:lang w:eastAsia="ru-RU"/>
        </w:rPr>
      </w:pPr>
    </w:p>
    <w:p w:rsidR="007B53FD" w:rsidRPr="000A2A96" w:rsidRDefault="007B53FD" w:rsidP="007B53FD">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7B53FD" w:rsidRPr="000A2A96" w:rsidRDefault="007B53FD" w:rsidP="007B53FD">
      <w:pPr>
        <w:spacing w:after="0"/>
        <w:jc w:val="both"/>
        <w:rPr>
          <w:rFonts w:ascii="Times New Roman" w:eastAsia="Times New Roman" w:hAnsi="Times New Roman" w:cs="Times New Roman"/>
          <w:b/>
          <w:sz w:val="24"/>
          <w:szCs w:val="24"/>
          <w:lang w:eastAsia="ru-RU"/>
        </w:rPr>
      </w:pP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Назовите известные вам виды ремонта основных средств</w:t>
      </w: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Какие методы учета затрат по ремонту основных средств использую предприятия?</w:t>
      </w: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метод учета затрат по ремонту основных средств наиболее удобен, понятен, экономичен, на ваш взгляд?</w:t>
      </w: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Назовите известные вам виды ремонта основных средств</w:t>
      </w: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Какие методы учета затрат по ремонту основных средств используют предприятия?</w:t>
      </w:r>
    </w:p>
    <w:p w:rsidR="007B53FD" w:rsidRPr="000A2A96" w:rsidRDefault="007B53FD" w:rsidP="007B53FD">
      <w:pPr>
        <w:numPr>
          <w:ilvl w:val="0"/>
          <w:numId w:val="16"/>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метод учета затрат по ремонту основных средств наиболее удобен, понятен, экономичен, на ваш взгляд?</w:t>
      </w:r>
    </w:p>
    <w:p w:rsidR="00BE01AC" w:rsidRDefault="00BE01AC" w:rsidP="00BE01AC">
      <w:pPr>
        <w:spacing w:after="0"/>
        <w:jc w:val="center"/>
        <w:rPr>
          <w:rFonts w:ascii="Times New Roman" w:eastAsia="Times New Roman" w:hAnsi="Times New Roman" w:cs="Times New Roman"/>
          <w:b/>
          <w:sz w:val="24"/>
          <w:szCs w:val="24"/>
          <w:lang w:eastAsia="ru-RU"/>
        </w:rPr>
      </w:pPr>
    </w:p>
    <w:p w:rsidR="00770319" w:rsidRDefault="00770319"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lastRenderedPageBreak/>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t>Брыкова Н.В.  Основы        бухгалтерского       учета. – М.: Академия (Academia),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Кондраков Н.П. Бухгалтерский (финансовый, управленческий) учет. М.:Проспект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Бурмистрова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Вещунова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0A2A96" w:rsidRDefault="00710533" w:rsidP="00DF1F5C">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2.Федосова Т.В. (Таганрог: ТТИ ЮФУ, 2013). Административно-управленческий портал AUP.Ruhttp://www.aup.ru/books/m176/ Бухгалтерский учет: Учебное пособие</w:t>
      </w:r>
    </w:p>
    <w:p w:rsidR="007B53FD" w:rsidRPr="000A2A96" w:rsidRDefault="007B53FD" w:rsidP="00DF1F5C">
      <w:pPr>
        <w:spacing w:after="0" w:line="360" w:lineRule="auto"/>
        <w:ind w:left="360"/>
        <w:jc w:val="both"/>
        <w:rPr>
          <w:rFonts w:ascii="Times New Roman" w:eastAsia="Calibri" w:hAnsi="Times New Roman" w:cs="Times New Roman"/>
          <w:bCs/>
          <w:sz w:val="24"/>
          <w:szCs w:val="24"/>
          <w:lang w:eastAsia="ru-RU"/>
        </w:rPr>
      </w:pPr>
      <w:bookmarkStart w:id="0" w:name="_GoBack"/>
      <w:bookmarkEnd w:id="0"/>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7B53FD">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7B53FD">
      <w:rPr>
        <w:noProof/>
      </w:rPr>
      <w:t>4</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7B53FD">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20A07"/>
    <w:rsid w:val="004B6912"/>
    <w:rsid w:val="005E5B22"/>
    <w:rsid w:val="0070330E"/>
    <w:rsid w:val="00706654"/>
    <w:rsid w:val="00710533"/>
    <w:rsid w:val="00770319"/>
    <w:rsid w:val="007B53FD"/>
    <w:rsid w:val="008661CC"/>
    <w:rsid w:val="008C7328"/>
    <w:rsid w:val="00AC0E59"/>
    <w:rsid w:val="00B63C7A"/>
    <w:rsid w:val="00BD2927"/>
    <w:rsid w:val="00BE01AC"/>
    <w:rsid w:val="00DF1F5C"/>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2DC7-F982-40D4-B175-9A5F805D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710</Words>
  <Characters>4047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2015-09-06T12:46:00Z</dcterms:created>
  <dcterms:modified xsi:type="dcterms:W3CDTF">2015-09-06T13:30:00Z</dcterms:modified>
</cp:coreProperties>
</file>