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«Талицкий лесотехнический колледж им.Н.И.Кузнецова»</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0F3A01">
        <w:rPr>
          <w:rFonts w:ascii="Times New Roman" w:eastAsia="Times New Roman" w:hAnsi="Times New Roman" w:cs="Times New Roman"/>
          <w:sz w:val="24"/>
          <w:szCs w:val="24"/>
        </w:rPr>
        <w:t>8</w:t>
      </w:r>
    </w:p>
    <w:p w:rsidR="00710533" w:rsidRDefault="00710533" w:rsidP="00710533">
      <w:pPr>
        <w:spacing w:after="0" w:line="360" w:lineRule="auto"/>
        <w:jc w:val="center"/>
        <w:rPr>
          <w:rFonts w:ascii="Times New Roman" w:eastAsia="Times New Roman" w:hAnsi="Times New Roman" w:cs="Times New Roman"/>
          <w:sz w:val="24"/>
          <w:szCs w:val="24"/>
        </w:rPr>
      </w:pPr>
    </w:p>
    <w:p w:rsidR="008F3999" w:rsidRPr="008F3999" w:rsidRDefault="00710533" w:rsidP="008F3999">
      <w:pPr>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F3999" w:rsidRPr="008F3999">
        <w:rPr>
          <w:rFonts w:ascii="Times New Roman" w:eastAsia="Times New Roman" w:hAnsi="Times New Roman" w:cs="Times New Roman"/>
          <w:sz w:val="24"/>
          <w:szCs w:val="24"/>
        </w:rPr>
        <w:t>Учет  материально-производственных запасов</w:t>
      </w:r>
    </w:p>
    <w:p w:rsidR="00BE01AC" w:rsidRDefault="00BE01AC" w:rsidP="00BE01AC">
      <w:pPr>
        <w:spacing w:after="0" w:line="360" w:lineRule="auto"/>
        <w:jc w:val="center"/>
        <w:rPr>
          <w:rFonts w:ascii="Times New Roman" w:eastAsia="Times New Roman" w:hAnsi="Times New Roman" w:cs="Times New Roman"/>
          <w:sz w:val="24"/>
          <w:szCs w:val="24"/>
        </w:rPr>
      </w:pP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Автор Добышева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F00365" w:rsidRDefault="00F00365" w:rsidP="00F00365">
      <w:pPr>
        <w:spacing w:line="360" w:lineRule="auto"/>
        <w:jc w:val="both"/>
        <w:rPr>
          <w:rFonts w:ascii="Times New Roman" w:eastAsia="Calibri" w:hAnsi="Times New Roman" w:cs="Times New Roman"/>
          <w:b/>
          <w:bCs/>
          <w:sz w:val="24"/>
          <w:szCs w:val="24"/>
          <w:lang w:eastAsia="ru-RU"/>
        </w:rPr>
      </w:pPr>
      <w:bookmarkStart w:id="0" w:name="_GoBack"/>
    </w:p>
    <w:p w:rsidR="00F00365" w:rsidRDefault="00F00365" w:rsidP="000F3A01">
      <w:pPr>
        <w:spacing w:after="0"/>
        <w:ind w:firstLine="709"/>
        <w:jc w:val="both"/>
        <w:rPr>
          <w:rFonts w:ascii="Times New Roman" w:eastAsia="Times New Roman" w:hAnsi="Times New Roman" w:cs="Times New Roman"/>
          <w:b/>
          <w:i/>
          <w:sz w:val="24"/>
          <w:szCs w:val="24"/>
          <w:lang w:eastAsia="ru-RU"/>
        </w:rPr>
      </w:pPr>
    </w:p>
    <w:p w:rsidR="00F00365" w:rsidRDefault="00F00365" w:rsidP="000F3A01">
      <w:pPr>
        <w:spacing w:after="0"/>
        <w:ind w:firstLine="709"/>
        <w:jc w:val="both"/>
        <w:rPr>
          <w:rFonts w:ascii="Times New Roman" w:eastAsia="Times New Roman" w:hAnsi="Times New Roman" w:cs="Times New Roman"/>
          <w:b/>
          <w:i/>
          <w:sz w:val="24"/>
          <w:szCs w:val="24"/>
          <w:lang w:eastAsia="ru-RU"/>
        </w:rPr>
      </w:pPr>
    </w:p>
    <w:p w:rsidR="000F3A01" w:rsidRPr="000A2A96" w:rsidRDefault="000F3A01" w:rsidP="000F3A0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Содержание  работы:</w:t>
      </w:r>
      <w:r w:rsidRPr="000A2A96">
        <w:rPr>
          <w:rFonts w:ascii="Times New Roman" w:eastAsia="Times New Roman" w:hAnsi="Times New Roman" w:cs="Times New Roman"/>
          <w:sz w:val="24"/>
          <w:szCs w:val="24"/>
          <w:lang w:eastAsia="ru-RU"/>
        </w:rPr>
        <w:t xml:space="preserve"> Оформление накладных, лимитно-заб</w:t>
      </w:r>
      <w:bookmarkEnd w:id="0"/>
      <w:r w:rsidRPr="000A2A96">
        <w:rPr>
          <w:rFonts w:ascii="Times New Roman" w:eastAsia="Times New Roman" w:hAnsi="Times New Roman" w:cs="Times New Roman"/>
          <w:sz w:val="24"/>
          <w:szCs w:val="24"/>
          <w:lang w:eastAsia="ru-RU"/>
        </w:rPr>
        <w:t>орных карт, требований, ведомостей по расходу материалов, ведомостей 12,15,10, журнала-ордера 10.</w:t>
      </w:r>
    </w:p>
    <w:p w:rsidR="000F3A01" w:rsidRPr="000A2A96" w:rsidRDefault="000F3A01" w:rsidP="000F3A01">
      <w:pPr>
        <w:spacing w:after="0"/>
        <w:ind w:firstLine="709"/>
        <w:jc w:val="both"/>
        <w:rPr>
          <w:rFonts w:ascii="Times New Roman" w:eastAsia="Times New Roman" w:hAnsi="Times New Roman" w:cs="Times New Roman"/>
          <w:b/>
          <w:i/>
          <w:sz w:val="24"/>
          <w:szCs w:val="24"/>
          <w:lang w:eastAsia="ru-RU"/>
        </w:rPr>
      </w:pPr>
    </w:p>
    <w:p w:rsidR="000F3A01" w:rsidRPr="000A2A96" w:rsidRDefault="000F3A01" w:rsidP="000F3A0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последовательности оформления операций по движению МПЗ </w:t>
      </w:r>
    </w:p>
    <w:p w:rsidR="000F3A01" w:rsidRPr="000A2A96" w:rsidRDefault="000F3A01" w:rsidP="000F3A01">
      <w:pPr>
        <w:spacing w:after="0"/>
        <w:ind w:firstLine="709"/>
        <w:jc w:val="both"/>
        <w:rPr>
          <w:rFonts w:ascii="Times New Roman" w:eastAsia="Times New Roman" w:hAnsi="Times New Roman" w:cs="Times New Roman"/>
          <w:b/>
          <w:i/>
          <w:sz w:val="24"/>
          <w:szCs w:val="24"/>
          <w:lang w:eastAsia="ru-RU"/>
        </w:rPr>
      </w:pPr>
    </w:p>
    <w:p w:rsidR="000F3A01" w:rsidRPr="000A2A96" w:rsidRDefault="000F3A01" w:rsidP="000F3A0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0F3A01" w:rsidRPr="000A2A96" w:rsidRDefault="000F3A01" w:rsidP="000F3A01">
      <w:pPr>
        <w:spacing w:after="0"/>
        <w:ind w:firstLine="709"/>
        <w:jc w:val="both"/>
        <w:rPr>
          <w:rFonts w:ascii="Times New Roman" w:eastAsia="Times New Roman" w:hAnsi="Times New Roman" w:cs="Times New Roman"/>
          <w:b/>
          <w:i/>
          <w:sz w:val="24"/>
          <w:szCs w:val="24"/>
          <w:lang w:eastAsia="ru-RU"/>
        </w:rPr>
      </w:pPr>
    </w:p>
    <w:p w:rsidR="000F3A01" w:rsidRPr="000A2A96" w:rsidRDefault="000F3A01" w:rsidP="000F3A01">
      <w:pPr>
        <w:spacing w:after="0"/>
        <w:ind w:firstLine="709"/>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Calibri" w:hAnsi="Times New Roman" w:cs="Times New Roman"/>
          <w:bCs/>
          <w:sz w:val="24"/>
          <w:szCs w:val="24"/>
          <w:lang w:eastAsia="ru-RU"/>
        </w:rPr>
        <w:t>Решить задачу 1.</w:t>
      </w:r>
    </w:p>
    <w:p w:rsidR="000F3A01" w:rsidRPr="000A2A96" w:rsidRDefault="000F3A01" w:rsidP="000F3A0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 xml:space="preserve">Задача 1. </w:t>
      </w:r>
      <w:r w:rsidRPr="000A2A96">
        <w:rPr>
          <w:rFonts w:ascii="Times New Roman" w:eastAsia="Times New Roman" w:hAnsi="Times New Roman" w:cs="Times New Roman"/>
          <w:sz w:val="24"/>
          <w:szCs w:val="24"/>
          <w:lang w:eastAsia="ru-RU"/>
        </w:rPr>
        <w:t xml:space="preserve">2 марта 2015 года  ООО «Заря» получило счет-фактуру № 98 от ОАО «Раевский сахарный завод» за сахарный песок в количестве 3000 кг по цене 30 рублей (без НДС). Сахарный песок поступил на центральный  склад  ООО «Заря», оформлен приходный ордер № 35. </w:t>
      </w: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- 5  марта по лимитно-заборной карте № 12 сахарный песок в количестве 600 кг отпущен  в   кондитерской цех.  </w:t>
      </w: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-15 марта  сахарный песок в количестве 300 кг  отгружен магазину «Магнит» по цене 33 рубля (без НДС).  </w:t>
      </w: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 марта сахарный песок в количестве 100 кг по требованию № 15 передан со склада в столовую ООО «Заря».</w:t>
      </w:r>
    </w:p>
    <w:p w:rsidR="000F3A01" w:rsidRPr="000A2A96" w:rsidRDefault="000F3A01" w:rsidP="000F3A0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Оформите приходный    ордер,    лимитно – заборную карту    (размер лимита – 1500 кг),</w:t>
      </w: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требование, накладную, накопительные ведомости по приходу и расходу материалов, выписки из ведомостей №№ 12 и 15, журнал-ордер 10. </w:t>
      </w:r>
    </w:p>
    <w:p w:rsidR="000F3A01" w:rsidRPr="000A2A96" w:rsidRDefault="000F3A01" w:rsidP="000F3A01">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Справочно:</w:t>
      </w:r>
      <w:r w:rsidRPr="000A2A96">
        <w:rPr>
          <w:rFonts w:ascii="Times New Roman" w:eastAsia="Times New Roman" w:hAnsi="Times New Roman" w:cs="Times New Roman"/>
          <w:sz w:val="24"/>
          <w:szCs w:val="24"/>
          <w:lang w:eastAsia="ru-RU"/>
        </w:rPr>
        <w:t xml:space="preserve"> учет затрат столовой предприятия ведется на счете 44 «Расходы на продажу».</w:t>
      </w: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____________________</w:t>
      </w: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организации</w:t>
      </w:r>
    </w:p>
    <w:p w:rsidR="000F3A01" w:rsidRPr="000A2A96" w:rsidRDefault="000F3A01" w:rsidP="000F3A01">
      <w:pPr>
        <w:spacing w:after="0"/>
        <w:jc w:val="both"/>
        <w:rPr>
          <w:rFonts w:ascii="Times New Roman" w:eastAsia="Times New Roman" w:hAnsi="Times New Roman" w:cs="Times New Roman"/>
          <w:sz w:val="24"/>
          <w:szCs w:val="24"/>
          <w:lang w:eastAsia="ru-RU"/>
        </w:rPr>
      </w:pP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НАКЛАДНАЯ № ___________ от «____» ______________________20_____г.</w:t>
      </w:r>
    </w:p>
    <w:p w:rsidR="000F3A01" w:rsidRPr="000A2A96" w:rsidRDefault="000F3A01" w:rsidP="000F3A01">
      <w:pPr>
        <w:spacing w:after="0"/>
        <w:jc w:val="both"/>
        <w:rPr>
          <w:rFonts w:ascii="Times New Roman" w:eastAsia="Times New Roman" w:hAnsi="Times New Roman" w:cs="Times New Roman"/>
          <w:sz w:val="24"/>
          <w:szCs w:val="24"/>
          <w:lang w:eastAsia="ru-RU"/>
        </w:rPr>
      </w:pPr>
    </w:p>
    <w:p w:rsidR="000F3A01" w:rsidRPr="000A2A96" w:rsidRDefault="000F3A01" w:rsidP="000F3A01">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Получил_____________________    Отпустил_______________________</w:t>
      </w:r>
    </w:p>
    <w:p w:rsidR="000F3A01" w:rsidRPr="000A2A96" w:rsidRDefault="000F3A01" w:rsidP="000F3A01">
      <w:pPr>
        <w:spacing w:after="0"/>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292"/>
        <w:gridCol w:w="1417"/>
        <w:gridCol w:w="1276"/>
        <w:gridCol w:w="1134"/>
        <w:gridCol w:w="1134"/>
        <w:gridCol w:w="1134"/>
      </w:tblGrid>
      <w:tr w:rsidR="000F3A01" w:rsidRPr="000A2A96" w:rsidTr="00445B69">
        <w:tc>
          <w:tcPr>
            <w:tcW w:w="540"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п/п</w:t>
            </w:r>
          </w:p>
        </w:tc>
        <w:tc>
          <w:tcPr>
            <w:tcW w:w="1695"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ценностей</w:t>
            </w:r>
          </w:p>
        </w:tc>
        <w:tc>
          <w:tcPr>
            <w:tcW w:w="1202"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Единица измерения</w:t>
            </w:r>
          </w:p>
        </w:tc>
        <w:tc>
          <w:tcPr>
            <w:tcW w:w="1349"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Количество</w:t>
            </w:r>
          </w:p>
        </w:tc>
        <w:tc>
          <w:tcPr>
            <w:tcW w:w="1276"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Цена, руб.</w:t>
            </w: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руб.(без НДС)</w:t>
            </w: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НДС, руб.</w:t>
            </w: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руб.</w:t>
            </w:r>
          </w:p>
        </w:tc>
      </w:tr>
      <w:tr w:rsidR="000F3A01" w:rsidRPr="000A2A96" w:rsidTr="00445B69">
        <w:tc>
          <w:tcPr>
            <w:tcW w:w="540"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695"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02"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349"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76"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r>
      <w:tr w:rsidR="000F3A01" w:rsidRPr="000A2A96" w:rsidTr="00445B69">
        <w:tc>
          <w:tcPr>
            <w:tcW w:w="540"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695"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02"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349"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76"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r>
      <w:tr w:rsidR="000F3A01" w:rsidRPr="000A2A96" w:rsidTr="00445B69">
        <w:tc>
          <w:tcPr>
            <w:tcW w:w="540"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695"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02"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349"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76"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r>
      <w:tr w:rsidR="000F3A01" w:rsidRPr="000A2A96" w:rsidTr="00445B69">
        <w:tc>
          <w:tcPr>
            <w:tcW w:w="540"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695"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02"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349"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76"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r>
      <w:tr w:rsidR="000F3A01" w:rsidRPr="000A2A96" w:rsidTr="00445B69">
        <w:tc>
          <w:tcPr>
            <w:tcW w:w="540"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695"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1202"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349"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276"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c>
          <w:tcPr>
            <w:tcW w:w="1134" w:type="dxa"/>
          </w:tcPr>
          <w:p w:rsidR="000F3A01" w:rsidRPr="000A2A96" w:rsidRDefault="000F3A01" w:rsidP="00445B69">
            <w:pPr>
              <w:spacing w:after="0"/>
              <w:jc w:val="center"/>
              <w:rPr>
                <w:rFonts w:ascii="Times New Roman" w:eastAsia="Times New Roman" w:hAnsi="Times New Roman" w:cs="Times New Roman"/>
                <w:sz w:val="24"/>
                <w:szCs w:val="24"/>
                <w:lang w:eastAsia="ru-RU"/>
              </w:rPr>
            </w:pPr>
          </w:p>
        </w:tc>
      </w:tr>
    </w:tbl>
    <w:p w:rsidR="000F3A01" w:rsidRPr="000A2A96" w:rsidRDefault="000F3A01" w:rsidP="000F3A01">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br w:type="page"/>
      </w:r>
      <w:r w:rsidRPr="000A2A96">
        <w:rPr>
          <w:rFonts w:ascii="Times New Roman" w:eastAsia="Times New Roman" w:hAnsi="Times New Roman" w:cs="Times New Roman"/>
          <w:b/>
          <w:sz w:val="24"/>
          <w:szCs w:val="24"/>
          <w:lang w:eastAsia="ru-RU"/>
        </w:rPr>
        <w:lastRenderedPageBreak/>
        <w:t>Ведомость № 12 за ___________   20___  года  ____________________________</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8"/>
        <w:gridCol w:w="2675"/>
        <w:gridCol w:w="864"/>
        <w:gridCol w:w="720"/>
        <w:gridCol w:w="540"/>
        <w:gridCol w:w="333"/>
        <w:gridCol w:w="614"/>
        <w:gridCol w:w="614"/>
        <w:gridCol w:w="614"/>
        <w:gridCol w:w="615"/>
        <w:gridCol w:w="1125"/>
        <w:gridCol w:w="939"/>
      </w:tblGrid>
      <w:tr w:rsidR="000F3A01" w:rsidRPr="000A2A96" w:rsidTr="00445B69">
        <w:trPr>
          <w:jc w:val="center"/>
        </w:trPr>
        <w:tc>
          <w:tcPr>
            <w:tcW w:w="498"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строки</w:t>
            </w: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Кредитуемые счета</w:t>
            </w:r>
          </w:p>
          <w:p w:rsidR="000F3A01" w:rsidRPr="000A2A96" w:rsidRDefault="000F3A01" w:rsidP="00445B69">
            <w:pPr>
              <w:spacing w:after="0"/>
              <w:jc w:val="both"/>
              <w:rPr>
                <w:rFonts w:ascii="Times New Roman" w:eastAsia="Times New Roman" w:hAnsi="Times New Roman" w:cs="Times New Roman"/>
                <w:sz w:val="24"/>
                <w:szCs w:val="24"/>
                <w:lang w:eastAsia="ru-RU"/>
              </w:rPr>
            </w:pPr>
          </w:p>
          <w:p w:rsidR="000F3A01" w:rsidRPr="000A2A96" w:rsidRDefault="000F3A01" w:rsidP="00445B69">
            <w:pPr>
              <w:spacing w:after="0"/>
              <w:jc w:val="both"/>
              <w:rPr>
                <w:rFonts w:ascii="Times New Roman" w:eastAsia="Times New Roman" w:hAnsi="Times New Roman" w:cs="Times New Roman"/>
                <w:sz w:val="24"/>
                <w:szCs w:val="24"/>
                <w:lang w:eastAsia="ru-RU"/>
              </w:rPr>
            </w:pP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Дебетуемые   счета,                 статьи аналитического учета</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w:t>
            </w: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02</w:t>
            </w: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70</w:t>
            </w: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69</w:t>
            </w: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w:t>
            </w: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25</w:t>
            </w: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28</w:t>
            </w: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Разные суммы, отраж. в журналах-ордерах</w:t>
            </w: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 цеху</w:t>
            </w:r>
          </w:p>
        </w:tc>
      </w:tr>
      <w:tr w:rsidR="000F3A01" w:rsidRPr="000A2A96" w:rsidTr="00445B69">
        <w:trPr>
          <w:jc w:val="center"/>
        </w:trPr>
        <w:tc>
          <w:tcPr>
            <w:tcW w:w="498"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p w:rsidR="000F3A01" w:rsidRPr="000A2A96" w:rsidRDefault="000F3A01" w:rsidP="00445B69">
            <w:pPr>
              <w:spacing w:after="0"/>
              <w:jc w:val="both"/>
              <w:rPr>
                <w:rFonts w:ascii="Times New Roman" w:eastAsia="Times New Roman" w:hAnsi="Times New Roman" w:cs="Times New Roman"/>
                <w:sz w:val="24"/>
                <w:szCs w:val="24"/>
                <w:lang w:eastAsia="ru-RU"/>
              </w:rPr>
            </w:pP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25 2Общепроизводствен-ные расходы»</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Амортизация оборудования</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jc w:val="center"/>
        </w:trPr>
        <w:tc>
          <w:tcPr>
            <w:tcW w:w="498"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Затраты по ремонту</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произв. оборудования</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транспорт.средств</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jc w:val="center"/>
        </w:trPr>
        <w:tc>
          <w:tcPr>
            <w:tcW w:w="498"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Эксплуатация оборудо-</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вания</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jc w:val="center"/>
        </w:trPr>
        <w:tc>
          <w:tcPr>
            <w:tcW w:w="498"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Содержание аппарата</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управления цеха</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jc w:val="center"/>
        </w:trPr>
        <w:tc>
          <w:tcPr>
            <w:tcW w:w="498"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Амортизация зданий.</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сооружений</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jc w:val="center"/>
        </w:trPr>
        <w:tc>
          <w:tcPr>
            <w:tcW w:w="498" w:type="dxa"/>
            <w:vMerge w:val="restart"/>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Содержание зданий,</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сооружений</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235"/>
          <w:jc w:val="center"/>
        </w:trPr>
        <w:tc>
          <w:tcPr>
            <w:tcW w:w="498" w:type="dxa"/>
            <w:vMerge/>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 сч.25</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jc w:val="center"/>
        </w:trPr>
        <w:tc>
          <w:tcPr>
            <w:tcW w:w="498" w:type="dxa"/>
            <w:vMerge/>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67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 «Основное</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производство»</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397"/>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675" w:type="dxa"/>
            <w:tcBorders>
              <w:top w:val="single" w:sz="4" w:space="0" w:color="auto"/>
              <w:left w:val="single" w:sz="4" w:space="0" w:color="auto"/>
              <w:bottom w:val="single" w:sz="4" w:space="0" w:color="auto"/>
              <w:right w:val="single" w:sz="4" w:space="0" w:color="auto"/>
            </w:tcBorders>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28 «Брак в производстве»</w:t>
            </w:r>
          </w:p>
        </w:tc>
        <w:tc>
          <w:tcPr>
            <w:tcW w:w="864"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397"/>
          <w:jc w:val="center"/>
        </w:trPr>
        <w:tc>
          <w:tcPr>
            <w:tcW w:w="498" w:type="dxa"/>
            <w:vMerge/>
            <w:tcBorders>
              <w:top w:val="single" w:sz="4" w:space="0" w:color="auto"/>
              <w:left w:val="single" w:sz="4" w:space="0" w:color="auto"/>
              <w:bottom w:val="single" w:sz="4" w:space="0" w:color="auto"/>
              <w:right w:val="single" w:sz="4" w:space="0" w:color="auto"/>
            </w:tcBorders>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675" w:type="dxa"/>
            <w:tcBorders>
              <w:top w:val="single" w:sz="4" w:space="0" w:color="auto"/>
              <w:left w:val="single" w:sz="4" w:space="0" w:color="auto"/>
              <w:bottom w:val="single" w:sz="4" w:space="0" w:color="auto"/>
              <w:right w:val="single" w:sz="4" w:space="0" w:color="auto"/>
            </w:tcBorders>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ВСЕГО</w:t>
            </w:r>
          </w:p>
        </w:tc>
        <w:tc>
          <w:tcPr>
            <w:tcW w:w="86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33"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4"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61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939" w:type="dxa"/>
            <w:tcBorders>
              <w:top w:val="single" w:sz="4" w:space="0" w:color="auto"/>
              <w:left w:val="single" w:sz="4" w:space="0" w:color="auto"/>
              <w:bottom w:val="single" w:sz="4" w:space="0" w:color="auto"/>
              <w:right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bl>
    <w:p w:rsidR="000F3A01" w:rsidRPr="000A2A96" w:rsidRDefault="000F3A01" w:rsidP="000F3A01">
      <w:pPr>
        <w:spacing w:after="0"/>
        <w:jc w:val="both"/>
        <w:rPr>
          <w:rFonts w:ascii="Times New Roman" w:eastAsia="Times New Roman" w:hAnsi="Times New Roman" w:cs="Times New Roman"/>
          <w:sz w:val="24"/>
          <w:szCs w:val="24"/>
          <w:lang w:eastAsia="ru-RU"/>
        </w:rPr>
      </w:pPr>
    </w:p>
    <w:p w:rsidR="000F3A01" w:rsidRPr="000A2A96" w:rsidRDefault="000F3A01" w:rsidP="000F3A01">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br w:type="page"/>
      </w:r>
      <w:r w:rsidRPr="000A2A96">
        <w:rPr>
          <w:rFonts w:ascii="Times New Roman" w:eastAsia="Times New Roman" w:hAnsi="Times New Roman" w:cs="Times New Roman"/>
          <w:b/>
          <w:sz w:val="24"/>
          <w:szCs w:val="24"/>
          <w:lang w:eastAsia="ru-RU"/>
        </w:rPr>
        <w:lastRenderedPageBreak/>
        <w:t>Ведомость № 15  за  __________20_____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7"/>
        <w:gridCol w:w="2907"/>
        <w:gridCol w:w="628"/>
        <w:gridCol w:w="628"/>
        <w:gridCol w:w="628"/>
        <w:gridCol w:w="630"/>
        <w:gridCol w:w="628"/>
        <w:gridCol w:w="628"/>
        <w:gridCol w:w="629"/>
        <w:gridCol w:w="631"/>
        <w:gridCol w:w="1166"/>
        <w:gridCol w:w="972"/>
      </w:tblGrid>
      <w:tr w:rsidR="000F3A01" w:rsidRPr="000A2A96" w:rsidTr="00445B69">
        <w:trPr>
          <w:trHeight w:val="1424"/>
          <w:jc w:val="center"/>
        </w:trPr>
        <w:tc>
          <w:tcPr>
            <w:tcW w:w="243"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строки</w:t>
            </w:r>
          </w:p>
        </w:tc>
        <w:tc>
          <w:tcPr>
            <w:tcW w:w="1355"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Кредитуемые счета </w:t>
            </w:r>
          </w:p>
          <w:p w:rsidR="000F3A01" w:rsidRPr="000A2A96" w:rsidRDefault="000F3A01" w:rsidP="00445B69">
            <w:pPr>
              <w:spacing w:after="0"/>
              <w:jc w:val="both"/>
              <w:rPr>
                <w:rFonts w:ascii="Times New Roman" w:eastAsia="Times New Roman" w:hAnsi="Times New Roman" w:cs="Times New Roman"/>
                <w:sz w:val="24"/>
                <w:szCs w:val="24"/>
                <w:lang w:eastAsia="ru-RU"/>
              </w:rPr>
            </w:pPr>
          </w:p>
          <w:p w:rsidR="000F3A01" w:rsidRPr="000A2A96" w:rsidRDefault="000F3A01" w:rsidP="00445B69">
            <w:pPr>
              <w:spacing w:after="0"/>
              <w:jc w:val="both"/>
              <w:rPr>
                <w:rFonts w:ascii="Times New Roman" w:eastAsia="Times New Roman" w:hAnsi="Times New Roman" w:cs="Times New Roman"/>
                <w:sz w:val="24"/>
                <w:szCs w:val="24"/>
                <w:lang w:eastAsia="ru-RU"/>
              </w:rPr>
            </w:pP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Дебетуемые   счета,                 статьи аналитического  учета</w:t>
            </w: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16</w:t>
            </w: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02</w:t>
            </w:r>
          </w:p>
        </w:tc>
        <w:tc>
          <w:tcPr>
            <w:tcW w:w="300"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70</w:t>
            </w: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69</w:t>
            </w: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05</w:t>
            </w: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23</w:t>
            </w:r>
          </w:p>
        </w:tc>
        <w:tc>
          <w:tcPr>
            <w:tcW w:w="300"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Разные суммы, отраж. в журналах-ордерах</w:t>
            </w:r>
          </w:p>
        </w:tc>
        <w:tc>
          <w:tcPr>
            <w:tcW w:w="458"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за месяц</w:t>
            </w:r>
          </w:p>
        </w:tc>
      </w:tr>
      <w:tr w:rsidR="000F3A01" w:rsidRPr="000A2A96" w:rsidTr="00445B69">
        <w:trPr>
          <w:trHeight w:val="566"/>
          <w:jc w:val="center"/>
        </w:trPr>
        <w:tc>
          <w:tcPr>
            <w:tcW w:w="243"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1355"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Содержание аппарата</w:t>
            </w:r>
          </w:p>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Управления</w:t>
            </w: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586"/>
          <w:jc w:val="center"/>
        </w:trPr>
        <w:tc>
          <w:tcPr>
            <w:tcW w:w="243"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1355"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Служебные командировки аппарата управления</w:t>
            </w: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273"/>
          <w:jc w:val="center"/>
        </w:trPr>
        <w:tc>
          <w:tcPr>
            <w:tcW w:w="243"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1355"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Амортизация НМА</w:t>
            </w: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566"/>
          <w:jc w:val="center"/>
        </w:trPr>
        <w:tc>
          <w:tcPr>
            <w:tcW w:w="243"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1355" w:type="pct"/>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Амортизация основных средств общехозяйственного  назначения</w:t>
            </w: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1152"/>
          <w:jc w:val="center"/>
        </w:trPr>
        <w:tc>
          <w:tcPr>
            <w:tcW w:w="243"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1355" w:type="pct"/>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Содержание и текущий ремонт зданий, инвентаря, сооружений общехозяйственного  назначения</w:t>
            </w: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566"/>
          <w:jc w:val="center"/>
        </w:trPr>
        <w:tc>
          <w:tcPr>
            <w:tcW w:w="243" w:type="pct"/>
            <w:shd w:val="clear" w:color="auto" w:fill="auto"/>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1355" w:type="pct"/>
            <w:tcBorders>
              <w:bottom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Прочие общехозяйственные расходы</w:t>
            </w: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344"/>
          <w:jc w:val="center"/>
        </w:trPr>
        <w:tc>
          <w:tcPr>
            <w:tcW w:w="243" w:type="pct"/>
            <w:shd w:val="clear" w:color="auto" w:fill="auto"/>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1355" w:type="pct"/>
            <w:tcBorders>
              <w:bottom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Обязательные отчисления</w:t>
            </w: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tcBorders>
              <w:bottom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273"/>
          <w:jc w:val="center"/>
        </w:trPr>
        <w:tc>
          <w:tcPr>
            <w:tcW w:w="243" w:type="pct"/>
            <w:vMerge w:val="restart"/>
            <w:shd w:val="clear" w:color="auto" w:fill="auto"/>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355" w:type="pct"/>
            <w:tcBorders>
              <w:top w:val="single" w:sz="4" w:space="0" w:color="auto"/>
            </w:tcBorders>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 сч.  26</w:t>
            </w:r>
          </w:p>
        </w:tc>
        <w:tc>
          <w:tcPr>
            <w:tcW w:w="299"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tcBorders>
              <w:top w:val="single" w:sz="4" w:space="0" w:color="auto"/>
            </w:tcBorders>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151"/>
          <w:jc w:val="center"/>
        </w:trPr>
        <w:tc>
          <w:tcPr>
            <w:tcW w:w="243" w:type="pct"/>
            <w:vMerge/>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355" w:type="pct"/>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 счету 97</w:t>
            </w: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151"/>
          <w:jc w:val="center"/>
        </w:trPr>
        <w:tc>
          <w:tcPr>
            <w:tcW w:w="243" w:type="pct"/>
            <w:vMerge/>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355" w:type="pct"/>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 счету 44</w:t>
            </w: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vAlign w:val="bottom"/>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r w:rsidR="000F3A01" w:rsidRPr="000A2A96" w:rsidTr="00445B69">
        <w:trPr>
          <w:trHeight w:val="151"/>
          <w:jc w:val="center"/>
        </w:trPr>
        <w:tc>
          <w:tcPr>
            <w:tcW w:w="243" w:type="pct"/>
            <w:vMerge/>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1355" w:type="pct"/>
            <w:vAlign w:val="center"/>
          </w:tcPr>
          <w:p w:rsidR="000F3A01" w:rsidRPr="000A2A96" w:rsidRDefault="000F3A01" w:rsidP="00445B69">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ВСЕГО</w:t>
            </w: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299"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300"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548"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c>
          <w:tcPr>
            <w:tcW w:w="458" w:type="pct"/>
          </w:tcPr>
          <w:p w:rsidR="000F3A01" w:rsidRPr="000A2A96" w:rsidRDefault="000F3A01" w:rsidP="00445B69">
            <w:pPr>
              <w:spacing w:after="0"/>
              <w:jc w:val="both"/>
              <w:rPr>
                <w:rFonts w:ascii="Times New Roman" w:eastAsia="Times New Roman" w:hAnsi="Times New Roman" w:cs="Times New Roman"/>
                <w:sz w:val="24"/>
                <w:szCs w:val="24"/>
                <w:lang w:eastAsia="ru-RU"/>
              </w:rPr>
            </w:pPr>
          </w:p>
        </w:tc>
      </w:tr>
    </w:tbl>
    <w:p w:rsidR="000F3A01" w:rsidRPr="000A2A96" w:rsidRDefault="000F3A01" w:rsidP="000F3A01">
      <w:pPr>
        <w:spacing w:after="0"/>
        <w:jc w:val="both"/>
        <w:rPr>
          <w:rFonts w:ascii="Times New Roman" w:eastAsia="Times New Roman" w:hAnsi="Times New Roman" w:cs="Times New Roman"/>
          <w:b/>
          <w:sz w:val="24"/>
          <w:szCs w:val="24"/>
          <w:lang w:eastAsia="ru-RU"/>
        </w:rPr>
      </w:pPr>
    </w:p>
    <w:p w:rsidR="000F3A01" w:rsidRPr="000A2A96" w:rsidRDefault="000F3A01" w:rsidP="000F3A01">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0F3A01" w:rsidRPr="000A2A96" w:rsidRDefault="000F3A01" w:rsidP="000F3A01">
      <w:pPr>
        <w:numPr>
          <w:ilvl w:val="0"/>
          <w:numId w:val="2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первичные документы, с помощью которых оформляются операции по приходу и расходу МПЗ.</w:t>
      </w:r>
    </w:p>
    <w:p w:rsidR="000F3A01" w:rsidRPr="000A2A96" w:rsidRDefault="000F3A01" w:rsidP="000F3A01">
      <w:pPr>
        <w:numPr>
          <w:ilvl w:val="0"/>
          <w:numId w:val="2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Кто производит записи в накопительных ведомостях по приходу и расходу МПЗ?</w:t>
      </w:r>
    </w:p>
    <w:p w:rsidR="000F3A01" w:rsidRPr="000A2A96" w:rsidRDefault="000F3A01" w:rsidP="000F3A01">
      <w:pPr>
        <w:numPr>
          <w:ilvl w:val="0"/>
          <w:numId w:val="2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Для учета каких затрат служат ведомости №№ 12 и 15?</w:t>
      </w:r>
    </w:p>
    <w:p w:rsidR="000F3A01" w:rsidRPr="000A2A96" w:rsidRDefault="000F3A01" w:rsidP="000F3A01">
      <w:pPr>
        <w:numPr>
          <w:ilvl w:val="0"/>
          <w:numId w:val="28"/>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Сколько ведомостей №№ 12 и 15 может быть на предприятии и на какой учетный период они открываются?</w:t>
      </w:r>
    </w:p>
    <w:p w:rsidR="000F3A01" w:rsidRPr="000A2A96" w:rsidRDefault="000F3A01" w:rsidP="000F3A01">
      <w:pPr>
        <w:spacing w:after="0"/>
        <w:jc w:val="both"/>
        <w:rPr>
          <w:rFonts w:ascii="Times New Roman" w:eastAsia="Times New Roman" w:hAnsi="Times New Roman" w:cs="Times New Roman"/>
          <w:sz w:val="24"/>
          <w:szCs w:val="24"/>
          <w:lang w:eastAsia="ru-RU"/>
        </w:rPr>
      </w:pPr>
    </w:p>
    <w:p w:rsidR="000F3A01" w:rsidRPr="000A2A96" w:rsidRDefault="000F3A01" w:rsidP="000F3A01">
      <w:pPr>
        <w:spacing w:after="0"/>
        <w:jc w:val="both"/>
        <w:rPr>
          <w:rFonts w:ascii="Times New Roman" w:eastAsia="Times New Roman" w:hAnsi="Times New Roman" w:cs="Times New Roman"/>
          <w:sz w:val="24"/>
          <w:szCs w:val="24"/>
          <w:lang w:eastAsia="ru-RU"/>
        </w:rPr>
      </w:pPr>
    </w:p>
    <w:p w:rsidR="006D7602" w:rsidRPr="000A2A96" w:rsidRDefault="006D7602" w:rsidP="006D7602">
      <w:pPr>
        <w:spacing w:after="0"/>
        <w:jc w:val="both"/>
        <w:rPr>
          <w:rFonts w:ascii="Times New Roman" w:eastAsia="Times New Roman" w:hAnsi="Times New Roman" w:cs="Times New Roman"/>
          <w:sz w:val="24"/>
          <w:szCs w:val="24"/>
          <w:lang w:eastAsia="ru-RU"/>
        </w:rPr>
        <w:sectPr w:rsidR="006D7602" w:rsidRPr="000A2A96" w:rsidSect="005836A8">
          <w:headerReference w:type="default" r:id="rId9"/>
          <w:footerReference w:type="even" r:id="rId10"/>
          <w:footerReference w:type="default" r:id="rId11"/>
          <w:pgSz w:w="11907" w:h="16840" w:code="9"/>
          <w:pgMar w:top="907" w:right="568" w:bottom="907" w:left="567" w:header="0" w:footer="0" w:gutter="0"/>
          <w:cols w:space="708"/>
          <w:docGrid w:linePitch="360"/>
        </w:sectPr>
      </w:pPr>
    </w:p>
    <w:p w:rsidR="001214F4" w:rsidRPr="000A2A96" w:rsidRDefault="001214F4" w:rsidP="008F3999">
      <w:pPr>
        <w:spacing w:after="0"/>
        <w:jc w:val="both"/>
        <w:rPr>
          <w:rFonts w:ascii="Times New Roman" w:eastAsia="Times New Roman" w:hAnsi="Times New Roman" w:cs="Times New Roman"/>
          <w:sz w:val="24"/>
          <w:szCs w:val="24"/>
          <w:lang w:eastAsia="ru-RU"/>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8F3999" w:rsidRDefault="008F3999"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t>Брыкова Н.В.  Основы        бухгалтерского       учета. – М.: Академия (Academia),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Кондраков Н.П. Бухгалтерский (финансовый, управленческий) учет. М.:Проспект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Бурмистрова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Вещунова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r w:rsidRPr="00710533">
        <w:rPr>
          <w:rFonts w:ascii="Times New Roman" w:eastAsia="Times New Roman" w:hAnsi="Times New Roman" w:cs="Times New Roman"/>
          <w:sz w:val="24"/>
          <w:szCs w:val="24"/>
        </w:rPr>
        <w:t>2.Федосова Т.В. (Таганрог: ТТИ ЮФУ, 2013).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й портал AUP.Ruhttp://www.aup.ru/books/m176/ Бухгалтерский учет: Учебное пособие</w:t>
      </w:r>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66" w:rsidRDefault="00796A66" w:rsidP="000B79F0">
      <w:pPr>
        <w:spacing w:after="0" w:line="240" w:lineRule="auto"/>
      </w:pPr>
      <w:r>
        <w:separator/>
      </w:r>
    </w:p>
  </w:endnote>
  <w:endnote w:type="continuationSeparator" w:id="0">
    <w:p w:rsidR="00796A66" w:rsidRDefault="00796A66"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56BD8">
      <w:rPr>
        <w:rStyle w:val="af6"/>
        <w:noProof/>
      </w:rPr>
      <w:t>2</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6D7602">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66" w:rsidRDefault="00796A66" w:rsidP="000B79F0">
      <w:pPr>
        <w:spacing w:after="0" w:line="240" w:lineRule="auto"/>
      </w:pPr>
      <w:r>
        <w:separator/>
      </w:r>
    </w:p>
  </w:footnote>
  <w:footnote w:type="continuationSeparator" w:id="0">
    <w:p w:rsidR="00796A66" w:rsidRDefault="00796A66"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956BD8">
          <w:rPr>
            <w:noProof/>
          </w:rPr>
          <w:t>2</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0F3A01"/>
    <w:rsid w:val="001214F4"/>
    <w:rsid w:val="0015511A"/>
    <w:rsid w:val="001A34DE"/>
    <w:rsid w:val="001F47F7"/>
    <w:rsid w:val="00236B44"/>
    <w:rsid w:val="00242EEF"/>
    <w:rsid w:val="003945A2"/>
    <w:rsid w:val="004201B2"/>
    <w:rsid w:val="00420A07"/>
    <w:rsid w:val="004B6912"/>
    <w:rsid w:val="005836A8"/>
    <w:rsid w:val="005E5B22"/>
    <w:rsid w:val="006B2D6C"/>
    <w:rsid w:val="006D7602"/>
    <w:rsid w:val="0070330E"/>
    <w:rsid w:val="00706654"/>
    <w:rsid w:val="00710533"/>
    <w:rsid w:val="00770319"/>
    <w:rsid w:val="00796A66"/>
    <w:rsid w:val="007B53FD"/>
    <w:rsid w:val="008661CC"/>
    <w:rsid w:val="008C7328"/>
    <w:rsid w:val="008F3999"/>
    <w:rsid w:val="00956BD8"/>
    <w:rsid w:val="00AC0E59"/>
    <w:rsid w:val="00B43F08"/>
    <w:rsid w:val="00B63C7A"/>
    <w:rsid w:val="00BD2927"/>
    <w:rsid w:val="00BE01AC"/>
    <w:rsid w:val="00D17516"/>
    <w:rsid w:val="00DB090F"/>
    <w:rsid w:val="00DF1F5C"/>
    <w:rsid w:val="00E52995"/>
    <w:rsid w:val="00F0036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DB82-FF19-43BA-B4AC-576641F3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769</Words>
  <Characters>4386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2015-09-06T12:46:00Z</dcterms:created>
  <dcterms:modified xsi:type="dcterms:W3CDTF">2015-09-07T01:15:00Z</dcterms:modified>
</cp:coreProperties>
</file>