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097846">
        <w:rPr>
          <w:rFonts w:ascii="Times New Roman" w:eastAsia="Times New Roman" w:hAnsi="Times New Roman" w:cs="Times New Roman"/>
          <w:sz w:val="24"/>
          <w:szCs w:val="24"/>
        </w:rPr>
        <w:t>31</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097846" w:rsidRPr="00097846">
        <w:rPr>
          <w:rFonts w:ascii="Times New Roman" w:eastAsia="Times New Roman" w:hAnsi="Times New Roman" w:cs="Times New Roman"/>
          <w:sz w:val="24"/>
          <w:szCs w:val="24"/>
        </w:rPr>
        <w:t>Учет  производственных затрат  и калькуляция  себестоимости продукции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097846" w:rsidRPr="000A2A96" w:rsidRDefault="00097846" w:rsidP="00097846">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Оформление регистров аналитического и синтетического учета затрат.</w:t>
      </w:r>
    </w:p>
    <w:p w:rsidR="00097846" w:rsidRPr="000A2A96" w:rsidRDefault="00097846" w:rsidP="00097846">
      <w:pPr>
        <w:spacing w:after="0"/>
        <w:ind w:firstLine="709"/>
        <w:jc w:val="both"/>
        <w:rPr>
          <w:rFonts w:ascii="Times New Roman" w:eastAsia="Times New Roman" w:hAnsi="Times New Roman" w:cs="Times New Roman"/>
          <w:b/>
          <w:i/>
          <w:sz w:val="24"/>
          <w:szCs w:val="24"/>
          <w:lang w:eastAsia="ru-RU"/>
        </w:rPr>
      </w:pPr>
    </w:p>
    <w:p w:rsidR="00097846" w:rsidRPr="000A2A96" w:rsidRDefault="00097846" w:rsidP="0009784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производственных затрат</w:t>
      </w:r>
    </w:p>
    <w:p w:rsidR="00097846" w:rsidRPr="000A2A96" w:rsidRDefault="00097846" w:rsidP="00097846">
      <w:pPr>
        <w:spacing w:after="0"/>
        <w:ind w:firstLine="709"/>
        <w:jc w:val="both"/>
        <w:rPr>
          <w:rFonts w:ascii="Times New Roman" w:eastAsia="Times New Roman" w:hAnsi="Times New Roman" w:cs="Times New Roman"/>
          <w:b/>
          <w:i/>
          <w:sz w:val="24"/>
          <w:szCs w:val="24"/>
          <w:lang w:eastAsia="ru-RU"/>
        </w:rPr>
      </w:pPr>
    </w:p>
    <w:p w:rsidR="00097846" w:rsidRPr="000A2A96" w:rsidRDefault="00097846" w:rsidP="0009784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097846" w:rsidRPr="000A2A96" w:rsidRDefault="00097846" w:rsidP="00097846">
      <w:pPr>
        <w:spacing w:after="0"/>
        <w:ind w:firstLine="709"/>
        <w:jc w:val="both"/>
        <w:rPr>
          <w:rFonts w:ascii="Times New Roman" w:eastAsia="Times New Roman" w:hAnsi="Times New Roman" w:cs="Times New Roman"/>
          <w:sz w:val="24"/>
          <w:szCs w:val="24"/>
          <w:lang w:eastAsia="ru-RU"/>
        </w:rPr>
      </w:pPr>
    </w:p>
    <w:p w:rsidR="00097846" w:rsidRPr="000A2A96" w:rsidRDefault="00097846" w:rsidP="0009784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Используя данные таблицы 1, оформите ведомости 12, 15 и журнал-ордер 10.</w:t>
      </w:r>
    </w:p>
    <w:p w:rsidR="00097846" w:rsidRPr="000A2A96" w:rsidRDefault="00097846" w:rsidP="00097846">
      <w:pPr>
        <w:spacing w:after="0"/>
        <w:jc w:val="both"/>
        <w:rPr>
          <w:rFonts w:ascii="Times New Roman" w:eastAsia="Times New Roman" w:hAnsi="Times New Roman" w:cs="Times New Roman"/>
          <w:sz w:val="24"/>
          <w:szCs w:val="24"/>
          <w:lang w:eastAsia="ru-RU"/>
        </w:rPr>
      </w:pPr>
    </w:p>
    <w:p w:rsidR="00097846" w:rsidRPr="000A2A96" w:rsidRDefault="00097846" w:rsidP="00097846">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Таблица 1</w:t>
      </w:r>
    </w:p>
    <w:p w:rsidR="00097846" w:rsidRPr="000A2A96" w:rsidRDefault="00097846" w:rsidP="00097846">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Затрат</w:t>
      </w:r>
      <w:proofErr w:type="gramStart"/>
      <w:r w:rsidRPr="000A2A96">
        <w:rPr>
          <w:rFonts w:ascii="Times New Roman" w:eastAsia="Times New Roman" w:hAnsi="Times New Roman" w:cs="Times New Roman"/>
          <w:b/>
          <w:sz w:val="24"/>
          <w:szCs w:val="24"/>
          <w:lang w:eastAsia="ru-RU"/>
        </w:rPr>
        <w:t>ы ООО</w:t>
      </w:r>
      <w:proofErr w:type="gramEnd"/>
      <w:r w:rsidRPr="000A2A96">
        <w:rPr>
          <w:rFonts w:ascii="Times New Roman" w:eastAsia="Times New Roman" w:hAnsi="Times New Roman" w:cs="Times New Roman"/>
          <w:b/>
          <w:sz w:val="24"/>
          <w:szCs w:val="24"/>
          <w:lang w:eastAsia="ru-RU"/>
        </w:rPr>
        <w:t xml:space="preserve"> «Миллениум» за апрель 2015 года (исходные данные для выполнения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751"/>
      </w:tblGrid>
      <w:tr w:rsidR="00097846" w:rsidRPr="000A2A96" w:rsidTr="00445B69">
        <w:tc>
          <w:tcPr>
            <w:tcW w:w="8330"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затрат</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1.Заработная плата основных производственных рабочих автоматного цеха (основное производство)</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720 560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2.Отчисления на социальное страхование и обеспечение с заработной платы основных производственных рабочих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210 690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3.Заработная плата служащих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184 120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4.Отчисления на социальное страхование и обеспечение с заработной платы служащих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63 470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5.Заработная плата работников аппарата управления предприятием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350 890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 Отчисления на социальное страхование и обеспечение с заработной платы  работников аппарата управления предприятием работников аппарата управления предприятием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124 650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7.Амортизация оборудования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69 780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8.Амортизация основных средств общехозяйственного назначения</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21 400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9.Учетная стоимость материалов, израсходованных на технологические нужды в автоматном цехе</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1 360 420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10.Сумма ТЗР по израсходованным в автоматном цехе материалам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48 960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11.Учетная стоимость запасных частей, израсходованных для ремонта оборудования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64 200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12.Сумма ТЗР по запасным частям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1 450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13.Учетная стоимость строительных материалов, израсходованных на текущий ремонт здания офиса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16 340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14.Сумма ТЗР по строительным материалам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1 200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15.Командировочные расходы служащих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20 480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Командировочные расходы работников аппарата управления предприятием</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45 890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17.Услуги связи (без НДС)</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14 600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18.Электроэнергия на технологические нужды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56 410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19. Электроэнергия на освещение помещения  автоматного цеха</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12 450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20.Электроэнергия на общехозяйственные нужды</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10 460</w:t>
            </w:r>
          </w:p>
        </w:tc>
      </w:tr>
      <w:tr w:rsidR="00097846" w:rsidRPr="000A2A96" w:rsidTr="00445B69">
        <w:tc>
          <w:tcPr>
            <w:tcW w:w="8330" w:type="dxa"/>
          </w:tcPr>
          <w:p w:rsidR="00097846" w:rsidRPr="000A2A96" w:rsidRDefault="00097846"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1751" w:type="dxa"/>
          </w:tcPr>
          <w:p w:rsidR="00097846" w:rsidRPr="000A2A96" w:rsidRDefault="00097846"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bl>
    <w:p w:rsidR="00097846" w:rsidRPr="000A2A96" w:rsidRDefault="00097846" w:rsidP="00097846">
      <w:pPr>
        <w:spacing w:after="0"/>
        <w:jc w:val="both"/>
        <w:rPr>
          <w:rFonts w:ascii="Times New Roman" w:eastAsia="Times New Roman" w:hAnsi="Times New Roman" w:cs="Times New Roman"/>
          <w:b/>
          <w:sz w:val="24"/>
          <w:szCs w:val="24"/>
          <w:lang w:eastAsia="ru-RU"/>
        </w:rPr>
      </w:pPr>
    </w:p>
    <w:p w:rsidR="00097846" w:rsidRPr="000A2A96" w:rsidRDefault="00097846" w:rsidP="0009784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b/>
          <w:sz w:val="24"/>
          <w:szCs w:val="24"/>
          <w:lang w:eastAsia="ru-RU"/>
        </w:rPr>
        <w:lastRenderedPageBreak/>
        <w:t>Справочно</w:t>
      </w:r>
      <w:proofErr w:type="spellEnd"/>
      <w:r w:rsidRPr="000A2A96">
        <w:rPr>
          <w:rFonts w:ascii="Times New Roman" w:eastAsia="Times New Roman" w:hAnsi="Times New Roman" w:cs="Times New Roman"/>
          <w:b/>
          <w:sz w:val="24"/>
          <w:szCs w:val="24"/>
          <w:lang w:eastAsia="ru-RU"/>
        </w:rPr>
        <w:t xml:space="preserve">! </w:t>
      </w:r>
      <w:r w:rsidRPr="000A2A96">
        <w:rPr>
          <w:rFonts w:ascii="Times New Roman" w:eastAsia="Times New Roman" w:hAnsi="Times New Roman" w:cs="Times New Roman"/>
          <w:sz w:val="24"/>
          <w:szCs w:val="24"/>
          <w:lang w:eastAsia="ru-RU"/>
        </w:rPr>
        <w:t>Формы ведомостей №№ 12, 15 и журнала-ордера 10 взять из практической работы 28.</w:t>
      </w:r>
    </w:p>
    <w:p w:rsidR="00097846" w:rsidRPr="000A2A96" w:rsidRDefault="00097846" w:rsidP="00097846">
      <w:pPr>
        <w:spacing w:after="0"/>
        <w:jc w:val="both"/>
        <w:rPr>
          <w:rFonts w:ascii="Times New Roman" w:eastAsia="Times New Roman" w:hAnsi="Times New Roman" w:cs="Times New Roman"/>
          <w:sz w:val="24"/>
          <w:szCs w:val="24"/>
          <w:lang w:eastAsia="ru-RU"/>
        </w:rPr>
      </w:pPr>
    </w:p>
    <w:p w:rsidR="00097846" w:rsidRPr="000A2A96" w:rsidRDefault="00097846" w:rsidP="00097846">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097846" w:rsidRPr="000A2A96" w:rsidRDefault="00097846" w:rsidP="00097846">
      <w:pPr>
        <w:spacing w:after="0"/>
        <w:jc w:val="both"/>
        <w:rPr>
          <w:rFonts w:ascii="Times New Roman" w:eastAsia="Times New Roman" w:hAnsi="Times New Roman" w:cs="Times New Roman"/>
          <w:b/>
          <w:sz w:val="24"/>
          <w:szCs w:val="24"/>
          <w:lang w:eastAsia="ru-RU"/>
        </w:rPr>
      </w:pPr>
    </w:p>
    <w:p w:rsidR="00097846" w:rsidRPr="000A2A96" w:rsidRDefault="00097846" w:rsidP="00097846">
      <w:pPr>
        <w:numPr>
          <w:ilvl w:val="0"/>
          <w:numId w:val="3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 каких условиях в учет затрат предприятия используется счет 25 «Общепроизводственные расходы» и оформляется ведомость 12?</w:t>
      </w:r>
    </w:p>
    <w:p w:rsidR="00097846" w:rsidRPr="000A2A96" w:rsidRDefault="00097846" w:rsidP="00097846">
      <w:pPr>
        <w:numPr>
          <w:ilvl w:val="0"/>
          <w:numId w:val="3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 </w:t>
      </w:r>
      <w:proofErr w:type="gramStart"/>
      <w:r w:rsidRPr="000A2A96">
        <w:rPr>
          <w:rFonts w:ascii="Times New Roman" w:eastAsia="Times New Roman" w:hAnsi="Times New Roman" w:cs="Times New Roman"/>
          <w:sz w:val="24"/>
          <w:szCs w:val="24"/>
          <w:lang w:eastAsia="ru-RU"/>
        </w:rPr>
        <w:t>дебету</w:t>
      </w:r>
      <w:proofErr w:type="gramEnd"/>
      <w:r w:rsidRPr="000A2A96">
        <w:rPr>
          <w:rFonts w:ascii="Times New Roman" w:eastAsia="Times New Roman" w:hAnsi="Times New Roman" w:cs="Times New Roman"/>
          <w:sz w:val="24"/>
          <w:szCs w:val="24"/>
          <w:lang w:eastAsia="ru-RU"/>
        </w:rPr>
        <w:t xml:space="preserve"> каких счетов бухгалтерского учета  производятся записи в ведомости № 15?</w:t>
      </w:r>
    </w:p>
    <w:p w:rsidR="00097846" w:rsidRPr="000A2A96" w:rsidRDefault="00097846" w:rsidP="00097846">
      <w:pPr>
        <w:numPr>
          <w:ilvl w:val="0"/>
          <w:numId w:val="3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Какие регистры учета затрат относятся к </w:t>
      </w:r>
      <w:proofErr w:type="gramStart"/>
      <w:r w:rsidRPr="000A2A96">
        <w:rPr>
          <w:rFonts w:ascii="Times New Roman" w:eastAsia="Times New Roman" w:hAnsi="Times New Roman" w:cs="Times New Roman"/>
          <w:sz w:val="24"/>
          <w:szCs w:val="24"/>
          <w:lang w:eastAsia="ru-RU"/>
        </w:rPr>
        <w:t>аналитическим</w:t>
      </w:r>
      <w:proofErr w:type="gramEnd"/>
      <w:r w:rsidRPr="000A2A96">
        <w:rPr>
          <w:rFonts w:ascii="Times New Roman" w:eastAsia="Times New Roman" w:hAnsi="Times New Roman" w:cs="Times New Roman"/>
          <w:sz w:val="24"/>
          <w:szCs w:val="24"/>
          <w:lang w:eastAsia="ru-RU"/>
        </w:rPr>
        <w:t>, какие к синтетическим и почему?</w:t>
      </w:r>
    </w:p>
    <w:p w:rsidR="00097846" w:rsidRPr="000A2A96" w:rsidRDefault="00097846" w:rsidP="00097846">
      <w:pPr>
        <w:numPr>
          <w:ilvl w:val="0"/>
          <w:numId w:val="3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От чего зависит количество </w:t>
      </w:r>
      <w:proofErr w:type="spellStart"/>
      <w:r w:rsidRPr="000A2A96">
        <w:rPr>
          <w:rFonts w:ascii="Times New Roman" w:eastAsia="Times New Roman" w:hAnsi="Times New Roman" w:cs="Times New Roman"/>
          <w:sz w:val="24"/>
          <w:szCs w:val="24"/>
          <w:lang w:eastAsia="ru-RU"/>
        </w:rPr>
        <w:t>субсчетов</w:t>
      </w:r>
      <w:proofErr w:type="spellEnd"/>
      <w:r w:rsidRPr="000A2A96">
        <w:rPr>
          <w:rFonts w:ascii="Times New Roman" w:eastAsia="Times New Roman" w:hAnsi="Times New Roman" w:cs="Times New Roman"/>
          <w:sz w:val="24"/>
          <w:szCs w:val="24"/>
          <w:lang w:eastAsia="ru-RU"/>
        </w:rPr>
        <w:t xml:space="preserve">  на счете 20 «Основное производство»?</w:t>
      </w:r>
    </w:p>
    <w:p w:rsidR="00097846" w:rsidRPr="000A2A96" w:rsidRDefault="00097846" w:rsidP="00097846">
      <w:pPr>
        <w:numPr>
          <w:ilvl w:val="0"/>
          <w:numId w:val="3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От чего зависит количество </w:t>
      </w:r>
      <w:proofErr w:type="spellStart"/>
      <w:r w:rsidRPr="000A2A96">
        <w:rPr>
          <w:rFonts w:ascii="Times New Roman" w:eastAsia="Times New Roman" w:hAnsi="Times New Roman" w:cs="Times New Roman"/>
          <w:sz w:val="24"/>
          <w:szCs w:val="24"/>
          <w:lang w:eastAsia="ru-RU"/>
        </w:rPr>
        <w:t>субсчетов</w:t>
      </w:r>
      <w:proofErr w:type="spellEnd"/>
      <w:r w:rsidRPr="000A2A96">
        <w:rPr>
          <w:rFonts w:ascii="Times New Roman" w:eastAsia="Times New Roman" w:hAnsi="Times New Roman" w:cs="Times New Roman"/>
          <w:sz w:val="24"/>
          <w:szCs w:val="24"/>
          <w:lang w:eastAsia="ru-RU"/>
        </w:rPr>
        <w:t xml:space="preserve">  на счете 25 «Общепроизводственные расходы»?</w:t>
      </w: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97846">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097846">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097846">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DC4D-7CC7-4A3D-9308-7CC87F16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2015-09-06T12:46:00Z</dcterms:created>
  <dcterms:modified xsi:type="dcterms:W3CDTF">2015-09-06T18:28:00Z</dcterms:modified>
</cp:coreProperties>
</file>