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02" w:rsidRDefault="00B94302" w:rsidP="00B94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B94302" w:rsidRDefault="00B94302" w:rsidP="00B94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E50B30" w:rsidRPr="00B94302" w:rsidRDefault="00B94302" w:rsidP="00B94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«О</w:t>
      </w:r>
      <w:r w:rsidR="009136D0">
        <w:rPr>
          <w:rFonts w:ascii="Times New Roman" w:hAnsi="Times New Roman" w:cs="Times New Roman"/>
          <w:b/>
          <w:i/>
          <w:sz w:val="32"/>
          <w:szCs w:val="28"/>
        </w:rPr>
        <w:t>бучение дошкольников элементам грамоты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E50B30" w:rsidRPr="00C03DDA" w:rsidRDefault="00E50B3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E50B30" w:rsidRDefault="00E50B3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B30" w:rsidRPr="00B95C10" w:rsidRDefault="00E50B3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9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04.2018</w:t>
      </w: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50B30" w:rsidRDefault="00E50B30" w:rsidP="00E50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30" w:rsidRDefault="00E50B30" w:rsidP="004B0C7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4B0C74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B0C74">
        <w:rPr>
          <w:rFonts w:ascii="Times New Roman" w:hAnsi="Times New Roman" w:cs="Times New Roman"/>
          <w:sz w:val="28"/>
          <w:szCs w:val="28"/>
        </w:rPr>
        <w:t>я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родителей по подготовке детей к обучению грамоте.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E50B30" w:rsidRDefault="00E50B30" w:rsidP="00E50B3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proofErr w:type="gramStart"/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из звуков [у] и [а] получается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306D98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9A4D6E" w:rsidRDefault="009A4D6E"/>
    <w:sectPr w:rsidR="009A4D6E" w:rsidSect="00306D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4B0C74"/>
    <w:rsid w:val="009136D0"/>
    <w:rsid w:val="009A4D6E"/>
    <w:rsid w:val="00B94302"/>
    <w:rsid w:val="00C57AD4"/>
    <w:rsid w:val="00DE70B6"/>
    <w:rsid w:val="00E50B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77DB"/>
  <w15:chartTrackingRefBased/>
  <w15:docId w15:val="{D68BAF73-5D7F-4C37-B913-164D257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7AB3-7DDC-4796-A57B-205574DE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8</cp:revision>
  <dcterms:created xsi:type="dcterms:W3CDTF">2018-07-14T10:42:00Z</dcterms:created>
  <dcterms:modified xsi:type="dcterms:W3CDTF">2019-02-09T06:12:00Z</dcterms:modified>
</cp:coreProperties>
</file>