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E2" w:rsidRPr="007957E2"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sz w:val="28"/>
          <w:szCs w:val="28"/>
        </w:rPr>
        <w:t>Т</w:t>
      </w:r>
      <w:r>
        <w:rPr>
          <w:rFonts w:ascii="Times New Roman" w:hAnsi="Times New Roman" w:cs="Times New Roman"/>
          <w:sz w:val="28"/>
          <w:szCs w:val="28"/>
        </w:rPr>
        <w:t>ехнологическая карта урока.</w:t>
      </w:r>
    </w:p>
    <w:p w:rsidR="007957E2" w:rsidRPr="007957E2" w:rsidRDefault="007957E2" w:rsidP="007957E2">
      <w:pPr>
        <w:spacing w:after="0" w:line="360" w:lineRule="auto"/>
        <w:ind w:firstLine="709"/>
        <w:jc w:val="both"/>
        <w:rPr>
          <w:rFonts w:ascii="Times New Roman" w:hAnsi="Times New Roman" w:cs="Times New Roman"/>
          <w:i/>
          <w:sz w:val="28"/>
          <w:szCs w:val="28"/>
        </w:rPr>
      </w:pPr>
      <w:r w:rsidRPr="007957E2">
        <w:rPr>
          <w:rFonts w:ascii="Times New Roman" w:hAnsi="Times New Roman" w:cs="Times New Roman"/>
          <w:i/>
          <w:sz w:val="28"/>
          <w:szCs w:val="28"/>
        </w:rPr>
        <w:t xml:space="preserve">Тема урока – </w:t>
      </w:r>
      <w:r w:rsidR="009E5CF9">
        <w:rPr>
          <w:rFonts w:ascii="Times New Roman" w:hAnsi="Times New Roman" w:cs="Times New Roman"/>
          <w:i/>
          <w:sz w:val="28"/>
          <w:szCs w:val="28"/>
        </w:rPr>
        <w:t>Классическое определение вероятности.</w:t>
      </w:r>
    </w:p>
    <w:p w:rsidR="007957E2" w:rsidRPr="007957E2"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i/>
          <w:sz w:val="28"/>
          <w:szCs w:val="28"/>
        </w:rPr>
        <w:t>Тип урока</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7957E2">
        <w:rPr>
          <w:rFonts w:ascii="Times New Roman" w:hAnsi="Times New Roman" w:cs="Times New Roman"/>
          <w:sz w:val="28"/>
          <w:szCs w:val="28"/>
        </w:rPr>
        <w:t xml:space="preserve">Урок </w:t>
      </w:r>
      <w:r w:rsidR="009E5CF9">
        <w:rPr>
          <w:rFonts w:ascii="Times New Roman" w:hAnsi="Times New Roman" w:cs="Times New Roman"/>
          <w:sz w:val="28"/>
          <w:szCs w:val="28"/>
        </w:rPr>
        <w:t>изучение нового</w:t>
      </w:r>
      <w:r w:rsidR="00E92FB1">
        <w:rPr>
          <w:rFonts w:ascii="Times New Roman" w:hAnsi="Times New Roman" w:cs="Times New Roman"/>
          <w:sz w:val="28"/>
          <w:szCs w:val="28"/>
        </w:rPr>
        <w:t xml:space="preserve"> </w:t>
      </w:r>
      <w:r w:rsidRPr="007957E2">
        <w:rPr>
          <w:rFonts w:ascii="Times New Roman" w:hAnsi="Times New Roman" w:cs="Times New Roman"/>
          <w:sz w:val="28"/>
          <w:szCs w:val="28"/>
        </w:rPr>
        <w:t xml:space="preserve">материала. </w:t>
      </w:r>
    </w:p>
    <w:p w:rsidR="007957E2" w:rsidRPr="007957E2" w:rsidRDefault="007957E2" w:rsidP="007957E2">
      <w:pPr>
        <w:spacing w:after="0" w:line="360" w:lineRule="auto"/>
        <w:ind w:firstLine="709"/>
        <w:jc w:val="both"/>
        <w:rPr>
          <w:rFonts w:ascii="Times New Roman" w:hAnsi="Times New Roman" w:cs="Times New Roman"/>
          <w:i/>
          <w:sz w:val="28"/>
          <w:szCs w:val="28"/>
        </w:rPr>
      </w:pPr>
      <w:r w:rsidRPr="007957E2">
        <w:rPr>
          <w:rFonts w:ascii="Times New Roman" w:hAnsi="Times New Roman" w:cs="Times New Roman"/>
          <w:i/>
          <w:sz w:val="28"/>
          <w:szCs w:val="28"/>
        </w:rPr>
        <w:t>Формируемые результаты</w:t>
      </w:r>
      <w:r>
        <w:rPr>
          <w:rFonts w:ascii="Times New Roman" w:hAnsi="Times New Roman" w:cs="Times New Roman"/>
          <w:i/>
          <w:sz w:val="28"/>
          <w:szCs w:val="28"/>
        </w:rPr>
        <w:t>:</w:t>
      </w:r>
      <w:r w:rsidRPr="007957E2">
        <w:rPr>
          <w:rFonts w:ascii="Times New Roman" w:hAnsi="Times New Roman" w:cs="Times New Roman"/>
          <w:i/>
          <w:sz w:val="28"/>
          <w:szCs w:val="28"/>
        </w:rPr>
        <w:t xml:space="preserve"> </w:t>
      </w:r>
    </w:p>
    <w:p w:rsidR="00E92FB1"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sz w:val="28"/>
          <w:szCs w:val="28"/>
        </w:rPr>
        <w:t xml:space="preserve">Предметные: </w:t>
      </w:r>
      <w:r w:rsidR="009E5CF9" w:rsidRPr="009E5CF9">
        <w:rPr>
          <w:rFonts w:ascii="Times New Roman" w:hAnsi="Times New Roman" w:cs="Times New Roman"/>
          <w:sz w:val="28"/>
          <w:szCs w:val="28"/>
        </w:rPr>
        <w:t>формировать умение оперировать понятиями «достоверное событие», «невозможное событие», «равновозможные результаты» и «равновероятные события».</w:t>
      </w:r>
    </w:p>
    <w:p w:rsidR="007957E2" w:rsidRDefault="007957E2" w:rsidP="00E92FB1">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sz w:val="28"/>
          <w:szCs w:val="28"/>
        </w:rPr>
        <w:t>Личностные:</w:t>
      </w:r>
      <w:r w:rsidR="00E92FB1">
        <w:rPr>
          <w:rFonts w:ascii="Times New Roman" w:hAnsi="Times New Roman" w:cs="Times New Roman"/>
          <w:sz w:val="28"/>
          <w:szCs w:val="28"/>
        </w:rPr>
        <w:t xml:space="preserve"> </w:t>
      </w:r>
      <w:r w:rsidR="009E5CF9" w:rsidRPr="009E5CF9">
        <w:rPr>
          <w:rFonts w:ascii="Times New Roman" w:hAnsi="Times New Roman" w:cs="Times New Roman"/>
          <w:sz w:val="28"/>
          <w:szCs w:val="28"/>
        </w:rPr>
        <w:t>формировать целостное мировоззрение, соответствующее современному уровню развития науки и общественной практики.</w:t>
      </w:r>
    </w:p>
    <w:p w:rsidR="009E5CF9"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sz w:val="28"/>
          <w:szCs w:val="28"/>
        </w:rPr>
        <w:t>Метапредметные:</w:t>
      </w:r>
      <w:r w:rsidR="009E5CF9">
        <w:t xml:space="preserve"> </w:t>
      </w:r>
      <w:r w:rsidR="009E5CF9" w:rsidRPr="009E5CF9">
        <w:rPr>
          <w:rFonts w:ascii="Times New Roman" w:hAnsi="Times New Roman" w:cs="Times New Roman"/>
          <w:sz w:val="28"/>
          <w:szCs w:val="28"/>
        </w:rPr>
        <w:t>формировать первоначальные представления об идеях и о методах математики как об универсальном языке науки и техники.</w:t>
      </w:r>
      <w:r w:rsidRPr="007957E2">
        <w:rPr>
          <w:rFonts w:ascii="Times New Roman" w:hAnsi="Times New Roman" w:cs="Times New Roman"/>
          <w:sz w:val="28"/>
          <w:szCs w:val="28"/>
        </w:rPr>
        <w:t xml:space="preserve"> </w:t>
      </w:r>
    </w:p>
    <w:p w:rsidR="00E92FB1"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i/>
          <w:sz w:val="28"/>
          <w:szCs w:val="28"/>
        </w:rPr>
        <w:t>Планируемые результаты</w:t>
      </w:r>
      <w:r>
        <w:rPr>
          <w:rFonts w:ascii="Times New Roman" w:hAnsi="Times New Roman" w:cs="Times New Roman"/>
          <w:sz w:val="28"/>
          <w:szCs w:val="28"/>
        </w:rPr>
        <w:t xml:space="preserve"> –</w:t>
      </w:r>
      <w:r w:rsidR="00E92FB1">
        <w:rPr>
          <w:rFonts w:ascii="Times New Roman" w:hAnsi="Times New Roman" w:cs="Times New Roman"/>
          <w:sz w:val="28"/>
          <w:szCs w:val="28"/>
        </w:rPr>
        <w:t xml:space="preserve"> </w:t>
      </w:r>
      <w:r w:rsidR="009E5CF9" w:rsidRPr="009E5CF9">
        <w:rPr>
          <w:rFonts w:ascii="Times New Roman" w:hAnsi="Times New Roman" w:cs="Times New Roman"/>
          <w:sz w:val="28"/>
          <w:szCs w:val="28"/>
        </w:rPr>
        <w:t>Учащийся научится оперировать понятиями «достоверное событие», «невозможное событие», «равновозможные результаты» и «равновероятные события».</w:t>
      </w:r>
    </w:p>
    <w:p w:rsidR="009E5CF9" w:rsidRPr="009E5CF9"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i/>
          <w:sz w:val="28"/>
          <w:szCs w:val="28"/>
        </w:rPr>
        <w:t>Основные понятия</w:t>
      </w:r>
      <w:r>
        <w:rPr>
          <w:rFonts w:ascii="Times New Roman" w:hAnsi="Times New Roman" w:cs="Times New Roman"/>
          <w:i/>
          <w:sz w:val="28"/>
          <w:szCs w:val="28"/>
        </w:rPr>
        <w:t xml:space="preserve"> –</w:t>
      </w:r>
      <w:r w:rsidR="009E5CF9">
        <w:rPr>
          <w:rFonts w:ascii="Times New Roman" w:hAnsi="Times New Roman" w:cs="Times New Roman"/>
          <w:i/>
          <w:sz w:val="28"/>
          <w:szCs w:val="28"/>
        </w:rPr>
        <w:t xml:space="preserve"> </w:t>
      </w:r>
      <w:r w:rsidR="009E5CF9" w:rsidRPr="009E5CF9">
        <w:rPr>
          <w:rFonts w:ascii="Times New Roman" w:hAnsi="Times New Roman" w:cs="Times New Roman"/>
          <w:sz w:val="28"/>
          <w:szCs w:val="28"/>
        </w:rPr>
        <w:t>Достоверное событие, невозможное событие, равновозможные события, равновероятные события, вероятность события, теория вероятностей.</w:t>
      </w:r>
    </w:p>
    <w:p w:rsidR="00C25560" w:rsidRDefault="007957E2" w:rsidP="007957E2">
      <w:pPr>
        <w:spacing w:after="0" w:line="360" w:lineRule="auto"/>
        <w:ind w:firstLine="709"/>
        <w:jc w:val="both"/>
        <w:rPr>
          <w:rFonts w:ascii="Times New Roman" w:hAnsi="Times New Roman" w:cs="Times New Roman"/>
          <w:sz w:val="28"/>
          <w:szCs w:val="28"/>
        </w:rPr>
      </w:pPr>
      <w:r w:rsidRPr="007957E2">
        <w:rPr>
          <w:rFonts w:ascii="Times New Roman" w:hAnsi="Times New Roman" w:cs="Times New Roman"/>
          <w:sz w:val="28"/>
          <w:szCs w:val="28"/>
        </w:rPr>
        <w:t>Организационная структура урока</w:t>
      </w:r>
      <w:r>
        <w:rPr>
          <w:rFonts w:ascii="Times New Roman" w:hAnsi="Times New Roman" w:cs="Times New Roman"/>
          <w:sz w:val="28"/>
          <w:szCs w:val="28"/>
        </w:rPr>
        <w:t>.</w:t>
      </w:r>
    </w:p>
    <w:p w:rsidR="007957E2" w:rsidRDefault="007957E2" w:rsidP="007957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Процессуальная деятельностная модель урока.</w:t>
      </w:r>
    </w:p>
    <w:p w:rsidR="007957E2" w:rsidRDefault="007957E2" w:rsidP="007957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Процессуальная деятельностная модель урока по теме «</w:t>
      </w:r>
      <w:r w:rsidR="009E5CF9">
        <w:rPr>
          <w:rFonts w:ascii="Times New Roman" w:hAnsi="Times New Roman" w:cs="Times New Roman"/>
          <w:sz w:val="24"/>
          <w:szCs w:val="24"/>
        </w:rPr>
        <w:t xml:space="preserve">Классическое определение вероятности. </w:t>
      </w:r>
      <w:r>
        <w:rPr>
          <w:rFonts w:ascii="Times New Roman" w:hAnsi="Times New Roman" w:cs="Times New Roman"/>
          <w:sz w:val="24"/>
          <w:szCs w:val="24"/>
        </w:rPr>
        <w:t>Основные понятия».</w:t>
      </w:r>
    </w:p>
    <w:tbl>
      <w:tblPr>
        <w:tblStyle w:val="a3"/>
        <w:tblW w:w="0" w:type="auto"/>
        <w:tblInd w:w="108" w:type="dxa"/>
        <w:tblLook w:val="04A0"/>
      </w:tblPr>
      <w:tblGrid>
        <w:gridCol w:w="1835"/>
        <w:gridCol w:w="1807"/>
        <w:gridCol w:w="3199"/>
        <w:gridCol w:w="474"/>
        <w:gridCol w:w="2430"/>
      </w:tblGrid>
      <w:tr w:rsidR="00E92FB1" w:rsidTr="00FF32C3">
        <w:tc>
          <w:tcPr>
            <w:tcW w:w="1835" w:type="dxa"/>
            <w:vMerge w:val="restart"/>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Этапы проведения урока</w:t>
            </w:r>
          </w:p>
        </w:tc>
        <w:tc>
          <w:tcPr>
            <w:tcW w:w="1807" w:type="dxa"/>
            <w:vMerge w:val="restart"/>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Форма организации УД</w:t>
            </w:r>
          </w:p>
        </w:tc>
        <w:tc>
          <w:tcPr>
            <w:tcW w:w="6103" w:type="dxa"/>
            <w:gridSpan w:val="3"/>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Задания для учащихся, выполнение которых приведет к достижению планируемых результатов</w:t>
            </w:r>
          </w:p>
        </w:tc>
      </w:tr>
      <w:tr w:rsidR="009E5CF9" w:rsidTr="00FF32C3">
        <w:tc>
          <w:tcPr>
            <w:tcW w:w="1835" w:type="dxa"/>
            <w:vMerge/>
          </w:tcPr>
          <w:p w:rsidR="00B87271" w:rsidRDefault="00B87271" w:rsidP="00B87271">
            <w:pPr>
              <w:jc w:val="center"/>
              <w:rPr>
                <w:rFonts w:ascii="Times New Roman" w:hAnsi="Times New Roman" w:cs="Times New Roman"/>
                <w:sz w:val="24"/>
                <w:szCs w:val="24"/>
              </w:rPr>
            </w:pPr>
          </w:p>
        </w:tc>
        <w:tc>
          <w:tcPr>
            <w:tcW w:w="1807" w:type="dxa"/>
            <w:vMerge/>
          </w:tcPr>
          <w:p w:rsidR="00B87271" w:rsidRDefault="00B87271" w:rsidP="00B87271">
            <w:pPr>
              <w:jc w:val="center"/>
              <w:rPr>
                <w:rFonts w:ascii="Times New Roman" w:hAnsi="Times New Roman" w:cs="Times New Roman"/>
                <w:sz w:val="24"/>
                <w:szCs w:val="24"/>
              </w:rPr>
            </w:pPr>
          </w:p>
        </w:tc>
        <w:tc>
          <w:tcPr>
            <w:tcW w:w="3199" w:type="dxa"/>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Учебник</w:t>
            </w:r>
          </w:p>
        </w:tc>
        <w:tc>
          <w:tcPr>
            <w:tcW w:w="2904" w:type="dxa"/>
            <w:gridSpan w:val="2"/>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Дидактические материалы</w:t>
            </w:r>
          </w:p>
        </w:tc>
      </w:tr>
      <w:tr w:rsidR="009E5CF9" w:rsidTr="00FF32C3">
        <w:tc>
          <w:tcPr>
            <w:tcW w:w="1835" w:type="dxa"/>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2</w:t>
            </w:r>
          </w:p>
        </w:tc>
        <w:tc>
          <w:tcPr>
            <w:tcW w:w="3199" w:type="dxa"/>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3</w:t>
            </w:r>
          </w:p>
        </w:tc>
        <w:tc>
          <w:tcPr>
            <w:tcW w:w="2904" w:type="dxa"/>
            <w:gridSpan w:val="2"/>
          </w:tcPr>
          <w:p w:rsidR="00B87271" w:rsidRDefault="00B87271" w:rsidP="00B87271">
            <w:pPr>
              <w:jc w:val="center"/>
              <w:rPr>
                <w:rFonts w:ascii="Times New Roman" w:hAnsi="Times New Roman" w:cs="Times New Roman"/>
                <w:sz w:val="24"/>
                <w:szCs w:val="24"/>
              </w:rPr>
            </w:pPr>
            <w:r>
              <w:rPr>
                <w:rFonts w:ascii="Times New Roman" w:hAnsi="Times New Roman" w:cs="Times New Roman"/>
                <w:sz w:val="24"/>
                <w:szCs w:val="24"/>
              </w:rPr>
              <w:t>4</w:t>
            </w:r>
          </w:p>
        </w:tc>
      </w:tr>
      <w:tr w:rsidR="00B87271" w:rsidTr="00B87271">
        <w:tc>
          <w:tcPr>
            <w:tcW w:w="9745" w:type="dxa"/>
            <w:gridSpan w:val="5"/>
          </w:tcPr>
          <w:p w:rsidR="00B87271" w:rsidRPr="00B87271" w:rsidRDefault="00B87271" w:rsidP="00B87271">
            <w:pPr>
              <w:jc w:val="both"/>
              <w:rPr>
                <w:rFonts w:ascii="Times New Roman" w:hAnsi="Times New Roman" w:cs="Times New Roman"/>
                <w:sz w:val="24"/>
                <w:szCs w:val="24"/>
              </w:rPr>
            </w:pPr>
            <w:r>
              <w:rPr>
                <w:rFonts w:ascii="Times New Roman" w:hAnsi="Times New Roman" w:cs="Times New Roman"/>
                <w:sz w:val="24"/>
                <w:szCs w:val="24"/>
              </w:rPr>
              <w:t>1.</w:t>
            </w:r>
            <w:r w:rsidRPr="00B87271">
              <w:rPr>
                <w:rFonts w:ascii="Times New Roman" w:hAnsi="Times New Roman" w:cs="Times New Roman"/>
                <w:sz w:val="24"/>
                <w:szCs w:val="24"/>
              </w:rPr>
              <w:t>Организационный этап</w:t>
            </w:r>
          </w:p>
        </w:tc>
      </w:tr>
      <w:tr w:rsidR="00B87271" w:rsidTr="00B87271">
        <w:tc>
          <w:tcPr>
            <w:tcW w:w="9745" w:type="dxa"/>
            <w:gridSpan w:val="5"/>
          </w:tcPr>
          <w:p w:rsidR="00B87271" w:rsidRDefault="00B87271" w:rsidP="00B87271">
            <w:pPr>
              <w:jc w:val="both"/>
              <w:rPr>
                <w:rFonts w:ascii="Times New Roman" w:hAnsi="Times New Roman" w:cs="Times New Roman"/>
                <w:sz w:val="24"/>
                <w:szCs w:val="24"/>
              </w:rPr>
            </w:pPr>
            <w:r>
              <w:rPr>
                <w:rFonts w:ascii="Times New Roman" w:hAnsi="Times New Roman" w:cs="Times New Roman"/>
                <w:sz w:val="24"/>
                <w:szCs w:val="24"/>
              </w:rPr>
              <w:t>2.Постановка формируемых результатов урока. Мотивация учебной деятельности учащихся.</w:t>
            </w:r>
          </w:p>
        </w:tc>
      </w:tr>
      <w:tr w:rsidR="00B87271" w:rsidTr="00B87271">
        <w:tc>
          <w:tcPr>
            <w:tcW w:w="9745" w:type="dxa"/>
            <w:gridSpan w:val="5"/>
          </w:tcPr>
          <w:p w:rsidR="00B87271" w:rsidRDefault="00B87271" w:rsidP="00B87271">
            <w:pPr>
              <w:jc w:val="both"/>
              <w:rPr>
                <w:rFonts w:ascii="Times New Roman" w:hAnsi="Times New Roman" w:cs="Times New Roman"/>
                <w:sz w:val="24"/>
                <w:szCs w:val="24"/>
              </w:rPr>
            </w:pPr>
            <w:r>
              <w:rPr>
                <w:rFonts w:ascii="Times New Roman" w:hAnsi="Times New Roman" w:cs="Times New Roman"/>
                <w:sz w:val="24"/>
                <w:szCs w:val="24"/>
              </w:rPr>
              <w:t>3.Проверка домашнего задания.</w:t>
            </w:r>
          </w:p>
        </w:tc>
      </w:tr>
      <w:tr w:rsidR="00E92FB1" w:rsidTr="00FF32C3">
        <w:tc>
          <w:tcPr>
            <w:tcW w:w="1835" w:type="dxa"/>
          </w:tcPr>
          <w:p w:rsidR="00B87271" w:rsidRDefault="00B87271" w:rsidP="009E5CF9">
            <w:pPr>
              <w:jc w:val="both"/>
              <w:rPr>
                <w:rFonts w:ascii="Times New Roman" w:hAnsi="Times New Roman" w:cs="Times New Roman"/>
                <w:sz w:val="24"/>
                <w:szCs w:val="24"/>
              </w:rPr>
            </w:pPr>
            <w:r>
              <w:rPr>
                <w:rFonts w:ascii="Times New Roman" w:hAnsi="Times New Roman" w:cs="Times New Roman"/>
                <w:sz w:val="24"/>
                <w:szCs w:val="24"/>
              </w:rPr>
              <w:t>4.</w:t>
            </w:r>
            <w:r w:rsidR="009E5CF9">
              <w:rPr>
                <w:rFonts w:ascii="Times New Roman" w:hAnsi="Times New Roman" w:cs="Times New Roman"/>
                <w:sz w:val="24"/>
                <w:szCs w:val="24"/>
              </w:rPr>
              <w:t>Изучение нового материала</w:t>
            </w:r>
          </w:p>
        </w:tc>
        <w:tc>
          <w:tcPr>
            <w:tcW w:w="1807" w:type="dxa"/>
          </w:tcPr>
          <w:p w:rsidR="00B87271" w:rsidRDefault="00B87271" w:rsidP="00B87271">
            <w:pPr>
              <w:jc w:val="both"/>
              <w:rPr>
                <w:rFonts w:ascii="Times New Roman" w:hAnsi="Times New Roman" w:cs="Times New Roman"/>
                <w:sz w:val="24"/>
                <w:szCs w:val="24"/>
              </w:rPr>
            </w:pPr>
            <w:r>
              <w:rPr>
                <w:rFonts w:ascii="Times New Roman" w:hAnsi="Times New Roman" w:cs="Times New Roman"/>
                <w:sz w:val="24"/>
                <w:szCs w:val="24"/>
              </w:rPr>
              <w:t>Ф</w:t>
            </w:r>
          </w:p>
        </w:tc>
        <w:tc>
          <w:tcPr>
            <w:tcW w:w="6103" w:type="dxa"/>
            <w:gridSpan w:val="3"/>
          </w:tcPr>
          <w:p w:rsidR="00B87271" w:rsidRDefault="009E5CF9" w:rsidP="00B87271">
            <w:pPr>
              <w:jc w:val="both"/>
              <w:rPr>
                <w:rFonts w:ascii="Times New Roman" w:hAnsi="Times New Roman" w:cs="Times New Roman"/>
                <w:sz w:val="24"/>
                <w:szCs w:val="24"/>
              </w:rPr>
            </w:pPr>
            <w:r>
              <w:rPr>
                <w:rFonts w:ascii="Times New Roman" w:hAnsi="Times New Roman" w:cs="Times New Roman"/>
                <w:sz w:val="24"/>
                <w:szCs w:val="24"/>
              </w:rPr>
              <w:t>Теоретический материал § 19</w:t>
            </w:r>
          </w:p>
        </w:tc>
      </w:tr>
      <w:tr w:rsidR="009E5CF9" w:rsidTr="00FF32C3">
        <w:tc>
          <w:tcPr>
            <w:tcW w:w="1835" w:type="dxa"/>
          </w:tcPr>
          <w:p w:rsidR="00B87271" w:rsidRDefault="00E92FB1" w:rsidP="00B87271">
            <w:pPr>
              <w:jc w:val="both"/>
              <w:rPr>
                <w:rFonts w:ascii="Times New Roman" w:hAnsi="Times New Roman" w:cs="Times New Roman"/>
                <w:sz w:val="24"/>
                <w:szCs w:val="24"/>
              </w:rPr>
            </w:pPr>
            <w:r>
              <w:rPr>
                <w:rFonts w:ascii="Times New Roman" w:hAnsi="Times New Roman" w:cs="Times New Roman"/>
                <w:sz w:val="24"/>
                <w:szCs w:val="24"/>
              </w:rPr>
              <w:t>5.</w:t>
            </w:r>
            <w:r w:rsidR="009E5CF9">
              <w:rPr>
                <w:rFonts w:ascii="Times New Roman" w:hAnsi="Times New Roman" w:cs="Times New Roman"/>
                <w:sz w:val="24"/>
                <w:szCs w:val="24"/>
              </w:rPr>
              <w:t>Первичное закрепление</w:t>
            </w:r>
            <w:r>
              <w:rPr>
                <w:rFonts w:ascii="Times New Roman" w:hAnsi="Times New Roman" w:cs="Times New Roman"/>
                <w:sz w:val="24"/>
                <w:szCs w:val="24"/>
              </w:rPr>
              <w:t xml:space="preserve"> </w:t>
            </w:r>
            <w:r w:rsidR="009E5CF9">
              <w:rPr>
                <w:rFonts w:ascii="Times New Roman" w:hAnsi="Times New Roman" w:cs="Times New Roman"/>
                <w:sz w:val="24"/>
                <w:szCs w:val="24"/>
              </w:rPr>
              <w:t>ново</w:t>
            </w:r>
            <w:r>
              <w:rPr>
                <w:rFonts w:ascii="Times New Roman" w:hAnsi="Times New Roman" w:cs="Times New Roman"/>
                <w:sz w:val="24"/>
                <w:szCs w:val="24"/>
              </w:rPr>
              <w:t xml:space="preserve">го </w:t>
            </w:r>
            <w:r w:rsidR="00FF32C3">
              <w:rPr>
                <w:rFonts w:ascii="Times New Roman" w:hAnsi="Times New Roman" w:cs="Times New Roman"/>
                <w:sz w:val="24"/>
                <w:szCs w:val="24"/>
              </w:rPr>
              <w:t>материала</w:t>
            </w:r>
          </w:p>
        </w:tc>
        <w:tc>
          <w:tcPr>
            <w:tcW w:w="1807" w:type="dxa"/>
          </w:tcPr>
          <w:p w:rsidR="00B87271" w:rsidRDefault="00FF32C3" w:rsidP="00B87271">
            <w:pPr>
              <w:jc w:val="both"/>
              <w:rPr>
                <w:rFonts w:ascii="Times New Roman" w:hAnsi="Times New Roman" w:cs="Times New Roman"/>
                <w:sz w:val="24"/>
                <w:szCs w:val="24"/>
              </w:rPr>
            </w:pPr>
            <w:r>
              <w:rPr>
                <w:rFonts w:ascii="Times New Roman" w:hAnsi="Times New Roman" w:cs="Times New Roman"/>
                <w:sz w:val="24"/>
                <w:szCs w:val="24"/>
              </w:rPr>
              <w:t>Ф</w:t>
            </w:r>
          </w:p>
        </w:tc>
        <w:tc>
          <w:tcPr>
            <w:tcW w:w="3673" w:type="dxa"/>
            <w:gridSpan w:val="2"/>
          </w:tcPr>
          <w:p w:rsidR="00B87271" w:rsidRDefault="00FF32C3" w:rsidP="009E5CF9">
            <w:pPr>
              <w:jc w:val="both"/>
              <w:rPr>
                <w:rFonts w:ascii="Times New Roman" w:hAnsi="Times New Roman" w:cs="Times New Roman"/>
                <w:sz w:val="24"/>
                <w:szCs w:val="24"/>
              </w:rPr>
            </w:pPr>
            <w:r>
              <w:rPr>
                <w:rFonts w:ascii="Times New Roman" w:hAnsi="Times New Roman" w:cs="Times New Roman"/>
                <w:sz w:val="24"/>
                <w:szCs w:val="24"/>
              </w:rPr>
              <w:t>№ 6</w:t>
            </w:r>
            <w:r w:rsidR="009E5CF9">
              <w:rPr>
                <w:rFonts w:ascii="Times New Roman" w:hAnsi="Times New Roman" w:cs="Times New Roman"/>
                <w:sz w:val="24"/>
                <w:szCs w:val="24"/>
              </w:rPr>
              <w:t>25-628, 630, 631, 633, 634</w:t>
            </w:r>
          </w:p>
        </w:tc>
        <w:tc>
          <w:tcPr>
            <w:tcW w:w="2430" w:type="dxa"/>
          </w:tcPr>
          <w:p w:rsidR="00B87271" w:rsidRDefault="009E5CF9" w:rsidP="00B87271">
            <w:pPr>
              <w:jc w:val="both"/>
              <w:rPr>
                <w:rFonts w:ascii="Times New Roman" w:hAnsi="Times New Roman" w:cs="Times New Roman"/>
                <w:sz w:val="24"/>
                <w:szCs w:val="24"/>
              </w:rPr>
            </w:pPr>
            <w:r>
              <w:rPr>
                <w:rFonts w:ascii="Times New Roman" w:hAnsi="Times New Roman" w:cs="Times New Roman"/>
                <w:sz w:val="24"/>
                <w:szCs w:val="24"/>
              </w:rPr>
              <w:t>№ 166, 167</w:t>
            </w:r>
          </w:p>
        </w:tc>
      </w:tr>
      <w:tr w:rsidR="009E5CF9" w:rsidTr="00FF32C3">
        <w:tc>
          <w:tcPr>
            <w:tcW w:w="1835" w:type="dxa"/>
          </w:tcPr>
          <w:p w:rsidR="00B87271" w:rsidRDefault="00E92FB1" w:rsidP="00B87271">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FF32C3">
              <w:rPr>
                <w:rFonts w:ascii="Times New Roman" w:hAnsi="Times New Roman" w:cs="Times New Roman"/>
                <w:sz w:val="24"/>
                <w:szCs w:val="24"/>
              </w:rPr>
              <w:t>.Повторение</w:t>
            </w:r>
          </w:p>
        </w:tc>
        <w:tc>
          <w:tcPr>
            <w:tcW w:w="1807" w:type="dxa"/>
          </w:tcPr>
          <w:p w:rsidR="00B87271" w:rsidRDefault="00FF32C3" w:rsidP="00B87271">
            <w:pPr>
              <w:jc w:val="both"/>
              <w:rPr>
                <w:rFonts w:ascii="Times New Roman" w:hAnsi="Times New Roman" w:cs="Times New Roman"/>
                <w:sz w:val="24"/>
                <w:szCs w:val="24"/>
              </w:rPr>
            </w:pPr>
            <w:r>
              <w:rPr>
                <w:rFonts w:ascii="Times New Roman" w:hAnsi="Times New Roman" w:cs="Times New Roman"/>
                <w:sz w:val="24"/>
                <w:szCs w:val="24"/>
              </w:rPr>
              <w:t>И</w:t>
            </w:r>
          </w:p>
        </w:tc>
        <w:tc>
          <w:tcPr>
            <w:tcW w:w="3673" w:type="dxa"/>
            <w:gridSpan w:val="2"/>
          </w:tcPr>
          <w:p w:rsidR="00B87271" w:rsidRDefault="00FF32C3" w:rsidP="00B87271">
            <w:pPr>
              <w:jc w:val="both"/>
              <w:rPr>
                <w:rFonts w:ascii="Times New Roman" w:hAnsi="Times New Roman" w:cs="Times New Roman"/>
                <w:sz w:val="24"/>
                <w:szCs w:val="24"/>
              </w:rPr>
            </w:pPr>
            <w:r>
              <w:rPr>
                <w:rFonts w:ascii="Times New Roman" w:hAnsi="Times New Roman" w:cs="Times New Roman"/>
                <w:sz w:val="24"/>
                <w:szCs w:val="24"/>
              </w:rPr>
              <w:t>№ 6</w:t>
            </w:r>
            <w:r w:rsidR="009E5CF9">
              <w:rPr>
                <w:rFonts w:ascii="Times New Roman" w:hAnsi="Times New Roman" w:cs="Times New Roman"/>
                <w:sz w:val="24"/>
                <w:szCs w:val="24"/>
              </w:rPr>
              <w:t>61</w:t>
            </w:r>
          </w:p>
        </w:tc>
        <w:tc>
          <w:tcPr>
            <w:tcW w:w="2430" w:type="dxa"/>
          </w:tcPr>
          <w:p w:rsidR="00B87271" w:rsidRDefault="00B87271" w:rsidP="00B87271">
            <w:pPr>
              <w:jc w:val="both"/>
              <w:rPr>
                <w:rFonts w:ascii="Times New Roman" w:hAnsi="Times New Roman" w:cs="Times New Roman"/>
                <w:sz w:val="24"/>
                <w:szCs w:val="24"/>
              </w:rPr>
            </w:pPr>
          </w:p>
        </w:tc>
      </w:tr>
      <w:tr w:rsidR="00E92FB1" w:rsidTr="00FF32C3">
        <w:tc>
          <w:tcPr>
            <w:tcW w:w="1835" w:type="dxa"/>
          </w:tcPr>
          <w:p w:rsidR="00FF32C3" w:rsidRDefault="00E92FB1" w:rsidP="00FF32C3">
            <w:pPr>
              <w:jc w:val="both"/>
              <w:rPr>
                <w:rFonts w:ascii="Times New Roman" w:hAnsi="Times New Roman" w:cs="Times New Roman"/>
                <w:sz w:val="24"/>
                <w:szCs w:val="24"/>
              </w:rPr>
            </w:pPr>
            <w:r>
              <w:rPr>
                <w:rFonts w:ascii="Times New Roman" w:hAnsi="Times New Roman" w:cs="Times New Roman"/>
                <w:sz w:val="24"/>
                <w:szCs w:val="24"/>
              </w:rPr>
              <w:t>7</w:t>
            </w:r>
            <w:r w:rsidR="00FF32C3">
              <w:rPr>
                <w:rFonts w:ascii="Times New Roman" w:hAnsi="Times New Roman" w:cs="Times New Roman"/>
                <w:sz w:val="24"/>
                <w:szCs w:val="24"/>
              </w:rPr>
              <w:t>.Рефлексия учебной деятельности на уроке</w:t>
            </w:r>
          </w:p>
        </w:tc>
        <w:tc>
          <w:tcPr>
            <w:tcW w:w="1807" w:type="dxa"/>
          </w:tcPr>
          <w:p w:rsidR="00FF32C3" w:rsidRDefault="00FF32C3" w:rsidP="00FF32C3">
            <w:pPr>
              <w:jc w:val="both"/>
              <w:rPr>
                <w:rFonts w:ascii="Times New Roman" w:hAnsi="Times New Roman" w:cs="Times New Roman"/>
                <w:sz w:val="24"/>
                <w:szCs w:val="24"/>
              </w:rPr>
            </w:pPr>
          </w:p>
        </w:tc>
        <w:tc>
          <w:tcPr>
            <w:tcW w:w="6103" w:type="dxa"/>
            <w:gridSpan w:val="3"/>
          </w:tcPr>
          <w:p w:rsidR="00FF32C3" w:rsidRDefault="00FF32C3" w:rsidP="00FF32C3">
            <w:pPr>
              <w:jc w:val="both"/>
              <w:rPr>
                <w:rFonts w:ascii="Times New Roman" w:hAnsi="Times New Roman" w:cs="Times New Roman"/>
                <w:sz w:val="24"/>
                <w:szCs w:val="24"/>
              </w:rPr>
            </w:pPr>
            <w:r>
              <w:rPr>
                <w:rFonts w:ascii="Times New Roman" w:hAnsi="Times New Roman" w:cs="Times New Roman"/>
                <w:sz w:val="24"/>
                <w:szCs w:val="24"/>
              </w:rPr>
              <w:t>Продолжите высказывание об уроке.</w:t>
            </w:r>
          </w:p>
          <w:p w:rsidR="00FF32C3" w:rsidRDefault="00FF32C3" w:rsidP="00FF32C3">
            <w:pPr>
              <w:jc w:val="both"/>
              <w:rPr>
                <w:rFonts w:ascii="Times New Roman" w:hAnsi="Times New Roman" w:cs="Times New Roman"/>
                <w:sz w:val="24"/>
                <w:szCs w:val="24"/>
              </w:rPr>
            </w:pPr>
            <w:r>
              <w:rPr>
                <w:rFonts w:ascii="Times New Roman" w:hAnsi="Times New Roman" w:cs="Times New Roman"/>
                <w:sz w:val="24"/>
                <w:szCs w:val="24"/>
              </w:rPr>
              <w:t>1.</w:t>
            </w:r>
            <w:r w:rsidR="009E5CF9">
              <w:rPr>
                <w:rFonts w:ascii="Times New Roman" w:hAnsi="Times New Roman" w:cs="Times New Roman"/>
                <w:sz w:val="24"/>
                <w:szCs w:val="24"/>
              </w:rPr>
              <w:t>Знания, полученные на уроке мне необходимы…</w:t>
            </w:r>
          </w:p>
          <w:p w:rsidR="00E92FB1" w:rsidRPr="00FF32C3" w:rsidRDefault="00FF32C3" w:rsidP="00E92FB1">
            <w:pPr>
              <w:jc w:val="both"/>
              <w:rPr>
                <w:rFonts w:ascii="Times New Roman" w:hAnsi="Times New Roman" w:cs="Times New Roman"/>
                <w:sz w:val="24"/>
                <w:szCs w:val="24"/>
              </w:rPr>
            </w:pPr>
            <w:r>
              <w:rPr>
                <w:rFonts w:ascii="Times New Roman" w:hAnsi="Times New Roman" w:cs="Times New Roman"/>
                <w:sz w:val="24"/>
                <w:szCs w:val="24"/>
              </w:rPr>
              <w:t>2.</w:t>
            </w:r>
            <w:r w:rsidR="009E5CF9">
              <w:rPr>
                <w:rFonts w:ascii="Times New Roman" w:hAnsi="Times New Roman" w:cs="Times New Roman"/>
                <w:sz w:val="24"/>
                <w:szCs w:val="24"/>
              </w:rPr>
              <w:t>Я получи</w:t>
            </w:r>
            <w:proofErr w:type="gramStart"/>
            <w:r w:rsidR="009E5CF9">
              <w:rPr>
                <w:rFonts w:ascii="Times New Roman" w:hAnsi="Times New Roman" w:cs="Times New Roman"/>
                <w:sz w:val="24"/>
                <w:szCs w:val="24"/>
              </w:rPr>
              <w:t>л(</w:t>
            </w:r>
            <w:proofErr w:type="gramEnd"/>
            <w:r w:rsidR="009E5CF9">
              <w:rPr>
                <w:rFonts w:ascii="Times New Roman" w:hAnsi="Times New Roman" w:cs="Times New Roman"/>
                <w:sz w:val="24"/>
                <w:szCs w:val="24"/>
              </w:rPr>
              <w:t>а) полезную информацию о том, что…</w:t>
            </w:r>
          </w:p>
          <w:p w:rsidR="00FF32C3" w:rsidRPr="00FF32C3" w:rsidRDefault="00FF32C3" w:rsidP="00FF32C3">
            <w:pPr>
              <w:jc w:val="both"/>
              <w:rPr>
                <w:rFonts w:ascii="Times New Roman" w:hAnsi="Times New Roman" w:cs="Times New Roman"/>
                <w:sz w:val="24"/>
                <w:szCs w:val="24"/>
              </w:rPr>
            </w:pPr>
          </w:p>
        </w:tc>
      </w:tr>
      <w:tr w:rsidR="009E5CF9" w:rsidTr="00FF32C3">
        <w:tc>
          <w:tcPr>
            <w:tcW w:w="1835" w:type="dxa"/>
          </w:tcPr>
          <w:p w:rsidR="00B87271" w:rsidRDefault="00E92FB1" w:rsidP="00FF32C3">
            <w:pPr>
              <w:jc w:val="both"/>
              <w:rPr>
                <w:rFonts w:ascii="Times New Roman" w:hAnsi="Times New Roman" w:cs="Times New Roman"/>
                <w:sz w:val="24"/>
                <w:szCs w:val="24"/>
              </w:rPr>
            </w:pPr>
            <w:r>
              <w:rPr>
                <w:rFonts w:ascii="Times New Roman" w:hAnsi="Times New Roman" w:cs="Times New Roman"/>
                <w:sz w:val="24"/>
                <w:szCs w:val="24"/>
              </w:rPr>
              <w:t>8</w:t>
            </w:r>
            <w:r w:rsidR="00FF32C3">
              <w:rPr>
                <w:rFonts w:ascii="Times New Roman" w:hAnsi="Times New Roman" w:cs="Times New Roman"/>
                <w:sz w:val="24"/>
                <w:szCs w:val="24"/>
              </w:rPr>
              <w:t xml:space="preserve">.Информация о домашнем задании </w:t>
            </w:r>
          </w:p>
        </w:tc>
        <w:tc>
          <w:tcPr>
            <w:tcW w:w="1807" w:type="dxa"/>
          </w:tcPr>
          <w:p w:rsidR="00B87271" w:rsidRDefault="00B87271" w:rsidP="00FF32C3">
            <w:pPr>
              <w:jc w:val="both"/>
              <w:rPr>
                <w:rFonts w:ascii="Times New Roman" w:hAnsi="Times New Roman" w:cs="Times New Roman"/>
                <w:sz w:val="24"/>
                <w:szCs w:val="24"/>
              </w:rPr>
            </w:pPr>
          </w:p>
        </w:tc>
        <w:tc>
          <w:tcPr>
            <w:tcW w:w="3673" w:type="dxa"/>
            <w:gridSpan w:val="2"/>
          </w:tcPr>
          <w:p w:rsidR="00B87271" w:rsidRDefault="00FF32C3" w:rsidP="009E5CF9">
            <w:pPr>
              <w:jc w:val="both"/>
              <w:rPr>
                <w:rFonts w:ascii="Times New Roman" w:hAnsi="Times New Roman" w:cs="Times New Roman"/>
                <w:sz w:val="24"/>
                <w:szCs w:val="24"/>
              </w:rPr>
            </w:pPr>
            <w:r>
              <w:rPr>
                <w:rFonts w:ascii="Times New Roman" w:hAnsi="Times New Roman" w:cs="Times New Roman"/>
                <w:sz w:val="24"/>
                <w:szCs w:val="24"/>
              </w:rPr>
              <w:t>§ 1</w:t>
            </w:r>
            <w:r w:rsidR="009E5CF9">
              <w:rPr>
                <w:rFonts w:ascii="Times New Roman" w:hAnsi="Times New Roman" w:cs="Times New Roman"/>
                <w:sz w:val="24"/>
                <w:szCs w:val="24"/>
              </w:rPr>
              <w:t>9, вопросы 1-5, № 629, 632, 635</w:t>
            </w:r>
          </w:p>
        </w:tc>
        <w:tc>
          <w:tcPr>
            <w:tcW w:w="2430" w:type="dxa"/>
          </w:tcPr>
          <w:p w:rsidR="00B87271" w:rsidRDefault="00B87271" w:rsidP="00FF32C3">
            <w:pPr>
              <w:jc w:val="both"/>
              <w:rPr>
                <w:rFonts w:ascii="Times New Roman" w:hAnsi="Times New Roman" w:cs="Times New Roman"/>
                <w:sz w:val="24"/>
                <w:szCs w:val="24"/>
              </w:rPr>
            </w:pPr>
          </w:p>
        </w:tc>
      </w:tr>
    </w:tbl>
    <w:p w:rsidR="009E5CF9" w:rsidRPr="009E5CF9" w:rsidRDefault="009E5CF9" w:rsidP="009E5CF9">
      <w:pPr>
        <w:spacing w:after="0" w:line="360" w:lineRule="auto"/>
        <w:ind w:firstLine="709"/>
        <w:jc w:val="center"/>
        <w:rPr>
          <w:rFonts w:ascii="Times New Roman" w:hAnsi="Times New Roman" w:cs="Times New Roman"/>
          <w:b/>
          <w:sz w:val="28"/>
          <w:szCs w:val="28"/>
        </w:rPr>
      </w:pPr>
      <w:r w:rsidRPr="009E5CF9">
        <w:rPr>
          <w:rFonts w:ascii="Times New Roman" w:hAnsi="Times New Roman" w:cs="Times New Roman"/>
          <w:b/>
          <w:sz w:val="28"/>
          <w:szCs w:val="28"/>
        </w:rPr>
        <w:t>Методические комментарии</w:t>
      </w:r>
    </w:p>
    <w:p w:rsidR="009E5CF9"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 xml:space="preserve">В начале параграфа на примерах вводятся понятия: «достоверное событие», «невозможное событие», «равновозможные результаты» и «равновероятные события», на основании которых далее будет сформирован формальный подход к определению вероятностей. </w:t>
      </w:r>
    </w:p>
    <w:p w:rsidR="00896C56"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При изучении классического определения вероятности следует обратить внимание на то, что рассматривают</w:t>
      </w:r>
      <w:r w:rsidR="00896C56">
        <w:rPr>
          <w:rFonts w:ascii="Times New Roman" w:hAnsi="Times New Roman" w:cs="Times New Roman"/>
          <w:sz w:val="28"/>
          <w:szCs w:val="28"/>
        </w:rPr>
        <w:t>ся именно равновозможные ре</w:t>
      </w:r>
      <w:r w:rsidRPr="009E5CF9">
        <w:rPr>
          <w:rFonts w:ascii="Times New Roman" w:hAnsi="Times New Roman" w:cs="Times New Roman"/>
          <w:sz w:val="28"/>
          <w:szCs w:val="28"/>
        </w:rPr>
        <w:t xml:space="preserve">зультаты. Поэтому классическое определение вероятности и соответствующую формулу можно применять только тогда, когда можно убедиться, что рассматриваемые результаты — равновозможные. Поэтому в качестве учебного примера рассматривают подбрасывание однородной монеты, а не, например, кнопки или пуговицы с петелькой. </w:t>
      </w:r>
    </w:p>
    <w:p w:rsidR="00896C56"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 xml:space="preserve">Для эмоциональной разрядки можно спросить: на чём основано шулерство при игре в кости или карты? С точки зрения теории вероятностей ответ должен быть таков: шулер делает так, чтобы результаты бросания костей или сдачи карт были не равновероятными. В качестве примера можно привести сцену игры в кости из романа Г. </w:t>
      </w:r>
      <w:proofErr w:type="spellStart"/>
      <w:r w:rsidRPr="009E5CF9">
        <w:rPr>
          <w:rFonts w:ascii="Times New Roman" w:hAnsi="Times New Roman" w:cs="Times New Roman"/>
          <w:sz w:val="28"/>
          <w:szCs w:val="28"/>
        </w:rPr>
        <w:t>Гаррисона</w:t>
      </w:r>
      <w:proofErr w:type="spellEnd"/>
      <w:r w:rsidRPr="009E5CF9">
        <w:rPr>
          <w:rFonts w:ascii="Times New Roman" w:hAnsi="Times New Roman" w:cs="Times New Roman"/>
          <w:sz w:val="28"/>
          <w:szCs w:val="28"/>
        </w:rPr>
        <w:t xml:space="preserve"> «Неукротимая планета», в которой материал одной из граней костей был подвержен действию магнита. </w:t>
      </w:r>
    </w:p>
    <w:p w:rsidR="00896C56"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 xml:space="preserve">Важность рассмотрения именно равновозможных результатов показана в примере 8. Этот пример надо разобрать подробно, потому что он демонстрирует, что в зависимости от описания условий эксперимента можно получить различный набор его результатов (в том числе </w:t>
      </w:r>
      <w:proofErr w:type="spellStart"/>
      <w:r w:rsidRPr="009E5CF9">
        <w:rPr>
          <w:rFonts w:ascii="Times New Roman" w:hAnsi="Times New Roman" w:cs="Times New Roman"/>
          <w:sz w:val="28"/>
          <w:szCs w:val="28"/>
        </w:rPr>
        <w:t>неравновозможных</w:t>
      </w:r>
      <w:proofErr w:type="spellEnd"/>
      <w:r w:rsidRPr="009E5CF9">
        <w:rPr>
          <w:rFonts w:ascii="Times New Roman" w:hAnsi="Times New Roman" w:cs="Times New Roman"/>
          <w:sz w:val="28"/>
          <w:szCs w:val="28"/>
        </w:rPr>
        <w:t xml:space="preserve">), </w:t>
      </w:r>
      <w:proofErr w:type="gramStart"/>
      <w:r w:rsidRPr="009E5CF9">
        <w:rPr>
          <w:rFonts w:ascii="Times New Roman" w:hAnsi="Times New Roman" w:cs="Times New Roman"/>
          <w:sz w:val="28"/>
          <w:szCs w:val="28"/>
        </w:rPr>
        <w:t>а</w:t>
      </w:r>
      <w:proofErr w:type="gramEnd"/>
      <w:r w:rsidRPr="009E5CF9">
        <w:rPr>
          <w:rFonts w:ascii="Times New Roman" w:hAnsi="Times New Roman" w:cs="Times New Roman"/>
          <w:sz w:val="28"/>
          <w:szCs w:val="28"/>
        </w:rPr>
        <w:t xml:space="preserve"> следовательно, разные ответы. Поэтому следует уделять особое внимание тому, как описать эксперимент и его результаты, чтобы математическая модель эксперимента соответствовала именно тому вопросу, который задан в задаче.</w:t>
      </w:r>
    </w:p>
    <w:p w:rsidR="00896C56"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lastRenderedPageBreak/>
        <w:t xml:space="preserve">Если учащиеся будут испытывать трудности в понимании примера 8, можно показать, как вначале свести описываемый эксперимент к </w:t>
      </w:r>
      <w:proofErr w:type="gramStart"/>
      <w:r w:rsidRPr="009E5CF9">
        <w:rPr>
          <w:rFonts w:ascii="Times New Roman" w:hAnsi="Times New Roman" w:cs="Times New Roman"/>
          <w:sz w:val="28"/>
          <w:szCs w:val="28"/>
        </w:rPr>
        <w:t>похожему</w:t>
      </w:r>
      <w:proofErr w:type="gramEnd"/>
      <w:r w:rsidRPr="009E5CF9">
        <w:rPr>
          <w:rFonts w:ascii="Times New Roman" w:hAnsi="Times New Roman" w:cs="Times New Roman"/>
          <w:sz w:val="28"/>
          <w:szCs w:val="28"/>
        </w:rPr>
        <w:t xml:space="preserve">, в котором результаты точно будут равновозможными, а затем от похожего эксперимента перейти к нужному. Для этого следует предложить рассмотреть все семьи с двумя детьми. Это даёт четыре равновозможных результата: </w:t>
      </w:r>
      <w:proofErr w:type="gramStart"/>
      <w:r w:rsidRPr="009E5CF9">
        <w:rPr>
          <w:rFonts w:ascii="Times New Roman" w:hAnsi="Times New Roman" w:cs="Times New Roman"/>
          <w:sz w:val="28"/>
          <w:szCs w:val="28"/>
        </w:rPr>
        <w:t>ММ</w:t>
      </w:r>
      <w:proofErr w:type="gramEnd"/>
      <w:r w:rsidRPr="009E5CF9">
        <w:rPr>
          <w:rFonts w:ascii="Times New Roman" w:hAnsi="Times New Roman" w:cs="Times New Roman"/>
          <w:sz w:val="28"/>
          <w:szCs w:val="28"/>
        </w:rPr>
        <w:t xml:space="preserve">, МД, ДМ, ДД. Затем из этих результатов отобрать те, которые рассматриваются в нашем эксперименте, то есть те, в которых есть хотя бы один мальчик. Получаем набор результатов </w:t>
      </w:r>
      <w:proofErr w:type="gramStart"/>
      <w:r w:rsidRPr="009E5CF9">
        <w:rPr>
          <w:rFonts w:ascii="Times New Roman" w:hAnsi="Times New Roman" w:cs="Times New Roman"/>
          <w:sz w:val="28"/>
          <w:szCs w:val="28"/>
        </w:rPr>
        <w:t>ММ</w:t>
      </w:r>
      <w:proofErr w:type="gramEnd"/>
      <w:r w:rsidRPr="009E5CF9">
        <w:rPr>
          <w:rFonts w:ascii="Times New Roman" w:hAnsi="Times New Roman" w:cs="Times New Roman"/>
          <w:sz w:val="28"/>
          <w:szCs w:val="28"/>
        </w:rPr>
        <w:t xml:space="preserve">, МД, ДМ. Эти результаты продолжают оставаться равновозможными, потому что условие эксперимента «в семье двое детей» не изменилось. Далее ответ очевиден. </w:t>
      </w:r>
    </w:p>
    <w:p w:rsidR="00896C56"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 xml:space="preserve">Пример 9 тоже учит, как, меняя условия эксперимента, можно добиться равновозможных результатов. В данном случае это достигнуто за счёт нумерации шаров. Важно сравнить этот опыт с опытом, описанным в примере 6. Там по условию кубики различаются цветом. Тем самым заданы условия эксперимента, обеспечивающие равновозможные результаты. Если бы кубики не различались цветом, то задача была сложнее, потому что нужно было каким-то дополнительным условием начать различать кубики. Например, в задаче 7 монеты пришлось перенумеровать. </w:t>
      </w:r>
    </w:p>
    <w:p w:rsidR="007957E2" w:rsidRDefault="009E5CF9" w:rsidP="007957E2">
      <w:pPr>
        <w:spacing w:after="0" w:line="360" w:lineRule="auto"/>
        <w:ind w:firstLine="709"/>
        <w:jc w:val="both"/>
        <w:rPr>
          <w:rFonts w:ascii="Times New Roman" w:hAnsi="Times New Roman" w:cs="Times New Roman"/>
          <w:sz w:val="28"/>
          <w:szCs w:val="28"/>
        </w:rPr>
      </w:pPr>
      <w:r w:rsidRPr="009E5CF9">
        <w:rPr>
          <w:rFonts w:ascii="Times New Roman" w:hAnsi="Times New Roman" w:cs="Times New Roman"/>
          <w:sz w:val="28"/>
          <w:szCs w:val="28"/>
        </w:rPr>
        <w:t>Подчеркнёт важность правильного описания эксперимента и необходимость его организации так, чтобы далее исследовать равновозможные результаты, рассказ «Сначала была игра» в рубрике «Когда сделаны уроки» после этого параграфа</w:t>
      </w:r>
      <w:r>
        <w:rPr>
          <w:rFonts w:ascii="Times New Roman" w:hAnsi="Times New Roman" w:cs="Times New Roman"/>
          <w:sz w:val="28"/>
          <w:szCs w:val="28"/>
        </w:rPr>
        <w:t>.</w:t>
      </w:r>
    </w:p>
    <w:p w:rsidR="00896C56" w:rsidRPr="00896C56" w:rsidRDefault="00896C56" w:rsidP="00896C56">
      <w:pPr>
        <w:spacing w:after="0" w:line="360" w:lineRule="auto"/>
        <w:ind w:firstLine="709"/>
        <w:jc w:val="center"/>
        <w:rPr>
          <w:rFonts w:ascii="Times New Roman" w:hAnsi="Times New Roman" w:cs="Times New Roman"/>
          <w:b/>
          <w:sz w:val="28"/>
          <w:szCs w:val="28"/>
        </w:rPr>
      </w:pPr>
      <w:r w:rsidRPr="00896C56">
        <w:rPr>
          <w:rFonts w:ascii="Times New Roman" w:hAnsi="Times New Roman" w:cs="Times New Roman"/>
          <w:b/>
          <w:sz w:val="28"/>
          <w:szCs w:val="28"/>
        </w:rPr>
        <w:t xml:space="preserve">Комментарии к упражнениям </w:t>
      </w:r>
    </w:p>
    <w:p w:rsidR="00896C56" w:rsidRPr="00896C56" w:rsidRDefault="00896C56" w:rsidP="00896C56">
      <w:pPr>
        <w:spacing w:after="0" w:line="360" w:lineRule="auto"/>
        <w:ind w:firstLine="709"/>
        <w:jc w:val="both"/>
        <w:rPr>
          <w:rFonts w:ascii="Times New Roman" w:hAnsi="Times New Roman" w:cs="Times New Roman"/>
          <w:b/>
          <w:sz w:val="28"/>
          <w:szCs w:val="28"/>
        </w:rPr>
      </w:pPr>
      <w:r w:rsidRPr="00896C56">
        <w:rPr>
          <w:rFonts w:ascii="Times New Roman" w:hAnsi="Times New Roman" w:cs="Times New Roman"/>
          <w:sz w:val="28"/>
          <w:szCs w:val="28"/>
        </w:rPr>
        <w:t>№ 626.</w:t>
      </w:r>
      <w:r w:rsidRPr="00896C56">
        <w:rPr>
          <w:rFonts w:ascii="Times New Roman" w:hAnsi="Times New Roman" w:cs="Times New Roman"/>
          <w:b/>
          <w:sz w:val="28"/>
          <w:szCs w:val="28"/>
        </w:rPr>
        <w:t xml:space="preserve"> </w:t>
      </w:r>
      <w:r w:rsidRPr="00896C56">
        <w:rPr>
          <w:rFonts w:ascii="Times New Roman" w:hAnsi="Times New Roman" w:cs="Times New Roman"/>
          <w:sz w:val="28"/>
          <w:szCs w:val="28"/>
        </w:rPr>
        <w:t xml:space="preserve">Нередко учащиеся, приводя примеры невозможных событий, используют ограниченные физические возможности человека (перепрыгнуть реку шириной 100 м, переплыть Атлантический океан и т. п.). Такие примеры нельзя отнести к </w:t>
      </w:r>
      <w:proofErr w:type="gramStart"/>
      <w:r w:rsidRPr="00896C56">
        <w:rPr>
          <w:rFonts w:ascii="Times New Roman" w:hAnsi="Times New Roman" w:cs="Times New Roman"/>
          <w:sz w:val="28"/>
          <w:szCs w:val="28"/>
        </w:rPr>
        <w:t>удачным</w:t>
      </w:r>
      <w:proofErr w:type="gramEnd"/>
      <w:r w:rsidRPr="00896C56">
        <w:rPr>
          <w:rFonts w:ascii="Times New Roman" w:hAnsi="Times New Roman" w:cs="Times New Roman"/>
          <w:sz w:val="28"/>
          <w:szCs w:val="28"/>
        </w:rPr>
        <w:t>. Это примеры маловероятных событий. Источником примеров невозможных событий, скорее всего, может служить выбор из какого-либо множества элемента, ему не принадлежащего.</w:t>
      </w:r>
    </w:p>
    <w:sectPr w:rsidR="00896C56" w:rsidRPr="00896C56" w:rsidSect="007957E2">
      <w:pgSz w:w="11906" w:h="16838"/>
      <w:pgMar w:top="1134" w:right="1418"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30D05"/>
    <w:multiLevelType w:val="hybridMultilevel"/>
    <w:tmpl w:val="52B68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F1B6E"/>
    <w:multiLevelType w:val="hybridMultilevel"/>
    <w:tmpl w:val="DAA2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B5E7F"/>
    <w:multiLevelType w:val="hybridMultilevel"/>
    <w:tmpl w:val="8D02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57E2"/>
    <w:rsid w:val="007957E2"/>
    <w:rsid w:val="00896C56"/>
    <w:rsid w:val="009E5CF9"/>
    <w:rsid w:val="00B87271"/>
    <w:rsid w:val="00C25560"/>
    <w:rsid w:val="00E92FB1"/>
    <w:rsid w:val="00FF3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7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7271"/>
    <w:pPr>
      <w:ind w:left="720"/>
      <w:contextualSpacing/>
    </w:pPr>
  </w:style>
  <w:style w:type="character" w:styleId="a5">
    <w:name w:val="Placeholder Text"/>
    <w:basedOn w:val="a0"/>
    <w:uiPriority w:val="99"/>
    <w:semiHidden/>
    <w:rsid w:val="00FF32C3"/>
    <w:rPr>
      <w:color w:val="808080"/>
    </w:rPr>
  </w:style>
  <w:style w:type="paragraph" w:styleId="a6">
    <w:name w:val="Balloon Text"/>
    <w:basedOn w:val="a"/>
    <w:link w:val="a7"/>
    <w:uiPriority w:val="99"/>
    <w:semiHidden/>
    <w:unhideWhenUsed/>
    <w:rsid w:val="00FF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2019-04-25T20:26:00Z</dcterms:created>
  <dcterms:modified xsi:type="dcterms:W3CDTF">2019-04-25T21:33:00Z</dcterms:modified>
</cp:coreProperties>
</file>