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D7" w:rsidRDefault="00A55BD7" w:rsidP="00A55BD7">
      <w:pPr>
        <w:jc w:val="center"/>
        <w:rPr>
          <w:sz w:val="28"/>
          <w:szCs w:val="28"/>
        </w:rPr>
      </w:pPr>
      <w:r>
        <w:rPr>
          <w:sz w:val="28"/>
          <w:szCs w:val="28"/>
        </w:rPr>
        <w:t>ГА ПОУ Чувашской Республики «</w:t>
      </w:r>
      <w:proofErr w:type="spellStart"/>
      <w:r>
        <w:rPr>
          <w:sz w:val="28"/>
          <w:szCs w:val="28"/>
        </w:rPr>
        <w:t>Канашский</w:t>
      </w:r>
      <w:proofErr w:type="spellEnd"/>
      <w:r>
        <w:rPr>
          <w:sz w:val="28"/>
          <w:szCs w:val="28"/>
        </w:rPr>
        <w:t xml:space="preserve"> педагогический колледж»</w:t>
      </w:r>
    </w:p>
    <w:p w:rsidR="00A55BD7" w:rsidRDefault="00A55BD7" w:rsidP="00A55BD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молодёжной политики Чувашской Республики</w:t>
      </w:r>
    </w:p>
    <w:p w:rsidR="00A55BD7" w:rsidRDefault="00A55BD7" w:rsidP="00A55BD7">
      <w:pPr>
        <w:jc w:val="center"/>
        <w:rPr>
          <w:sz w:val="28"/>
          <w:szCs w:val="28"/>
        </w:rPr>
      </w:pPr>
    </w:p>
    <w:p w:rsidR="00A55BD7" w:rsidRDefault="00A55BD7" w:rsidP="00A55BD7">
      <w:pPr>
        <w:jc w:val="center"/>
        <w:rPr>
          <w:sz w:val="28"/>
          <w:szCs w:val="28"/>
        </w:rPr>
      </w:pPr>
    </w:p>
    <w:p w:rsidR="00A55BD7" w:rsidRDefault="00A55BD7" w:rsidP="00A55BD7">
      <w:pPr>
        <w:jc w:val="center"/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jc w:val="center"/>
        <w:rPr>
          <w:sz w:val="28"/>
          <w:szCs w:val="28"/>
        </w:rPr>
      </w:pPr>
    </w:p>
    <w:p w:rsidR="00A55BD7" w:rsidRPr="00064190" w:rsidRDefault="00A55BD7" w:rsidP="00A55BD7">
      <w:pPr>
        <w:jc w:val="center"/>
        <w:rPr>
          <w:b/>
          <w:sz w:val="32"/>
          <w:szCs w:val="32"/>
        </w:rPr>
      </w:pPr>
    </w:p>
    <w:p w:rsidR="00A55BD7" w:rsidRPr="00064190" w:rsidRDefault="00A55BD7" w:rsidP="00A55BD7">
      <w:pPr>
        <w:jc w:val="center"/>
        <w:rPr>
          <w:b/>
          <w:sz w:val="32"/>
          <w:szCs w:val="32"/>
        </w:rPr>
      </w:pPr>
    </w:p>
    <w:p w:rsidR="00A55BD7" w:rsidRDefault="00A55BD7" w:rsidP="00A55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</w:t>
      </w:r>
      <w:r>
        <w:rPr>
          <w:b/>
          <w:sz w:val="32"/>
          <w:szCs w:val="32"/>
        </w:rPr>
        <w:t>на тему</w:t>
      </w:r>
    </w:p>
    <w:p w:rsidR="00A55BD7" w:rsidRDefault="00A55BD7" w:rsidP="00A55BD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</w:t>
      </w:r>
      <w:r w:rsidRPr="00A55BD7">
        <w:rPr>
          <w:b/>
          <w:sz w:val="32"/>
          <w:szCs w:val="32"/>
        </w:rPr>
        <w:t>онцепция 2020</w:t>
      </w:r>
      <w:r>
        <w:rPr>
          <w:b/>
          <w:sz w:val="32"/>
          <w:szCs w:val="32"/>
        </w:rPr>
        <w:t>»</w:t>
      </w: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rPr>
          <w:sz w:val="28"/>
          <w:szCs w:val="28"/>
        </w:rPr>
      </w:pPr>
    </w:p>
    <w:p w:rsidR="00A55BD7" w:rsidRDefault="00A55BD7" w:rsidP="00A55BD7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</w:t>
      </w:r>
      <w:r>
        <w:rPr>
          <w:sz w:val="28"/>
          <w:szCs w:val="28"/>
        </w:rPr>
        <w:br/>
        <w:t xml:space="preserve">студентка 401 группы КПК </w:t>
      </w:r>
      <w:r>
        <w:rPr>
          <w:sz w:val="28"/>
          <w:szCs w:val="28"/>
        </w:rPr>
        <w:br/>
        <w:t>Тихонова Е.С.</w:t>
      </w:r>
      <w:r>
        <w:rPr>
          <w:sz w:val="28"/>
          <w:szCs w:val="28"/>
        </w:rPr>
        <w:br/>
        <w:t>Проверила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Пустовая</w:t>
      </w:r>
      <w:proofErr w:type="spellEnd"/>
      <w:r>
        <w:rPr>
          <w:sz w:val="28"/>
          <w:szCs w:val="28"/>
        </w:rPr>
        <w:t xml:space="preserve"> О. Г.</w:t>
      </w:r>
    </w:p>
    <w:p w:rsidR="00A55BD7" w:rsidRDefault="00A55BD7" w:rsidP="00A55BD7">
      <w:pPr>
        <w:jc w:val="center"/>
        <w:rPr>
          <w:sz w:val="28"/>
          <w:szCs w:val="28"/>
        </w:rPr>
      </w:pPr>
    </w:p>
    <w:p w:rsidR="00A55BD7" w:rsidRDefault="00A55BD7" w:rsidP="00A55B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5BD7" w:rsidRDefault="00A55BD7" w:rsidP="00A55BD7">
      <w:pPr>
        <w:jc w:val="center"/>
        <w:rPr>
          <w:b/>
          <w:sz w:val="28"/>
          <w:szCs w:val="28"/>
        </w:rPr>
      </w:pPr>
    </w:p>
    <w:p w:rsidR="00A55BD7" w:rsidRDefault="00A55BD7" w:rsidP="00A5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Канаш – 2015 год.</w:t>
      </w:r>
    </w:p>
    <w:p w:rsidR="00840E46" w:rsidRPr="00A55BD7" w:rsidRDefault="00A55BD7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55BD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lastRenderedPageBreak/>
        <w:t>Стратегия 2020</w:t>
      </w:r>
      <w:r w:rsidRPr="00A55BD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это краткое общепринятое наименование обновленного варианта Концепции долгосрочного социально-экономического развития РФ до 2020 года (КДР), подготовленной по заказу</w:t>
      </w:r>
      <w:r w:rsidRPr="00A55BD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Российское правительство" w:history="1">
        <w:r w:rsidRPr="00A55BD7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российского правительства</w:t>
        </w:r>
      </w:hyperlink>
      <w:r w:rsidRPr="00A55BD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55BD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2011 году.</w:t>
      </w:r>
    </w:p>
    <w:p w:rsidR="00A55BD7" w:rsidRPr="00A55BD7" w:rsidRDefault="00A55BD7" w:rsidP="00A55BD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A55BD7" w:rsidRPr="00A55BD7" w:rsidRDefault="00A55BD7" w:rsidP="00A55BD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Стратегию 2020 по поручению российского правительства разрабатывали в течение 2011 года более 1000 экспертов под руководством Государственного университета - Высшей школы экономики и Российской академии народного хозяйства и госслужбы.</w:t>
      </w:r>
    </w:p>
    <w:p w:rsidR="00A55BD7" w:rsidRPr="00A55BD7" w:rsidRDefault="00A55BD7" w:rsidP="00A55BD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Стратегия 2020 — это второй вариант концепции долгосрочного развития России до 2020 года (сокращенно — КДР). Первый вариант в 2006—2007 годах разрабатывали в соответствии с поручением Президента РФ В. Путина Минэкономразвития и другие ведомства. Целью разработки первого варианта Концепции было заявлено «определение путей и способов обеспечения в долгосрочной перспективе (2008—2020 годы) устойчивого повышения благосостояния российских граждан, национальной безопасности, динамичного развития экономики, укрепления позиций России в мировом </w:t>
      </w:r>
      <w:proofErr w:type="gramStart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сообществе»</w:t>
      </w:r>
      <w:hyperlink r:id="rId6" w:anchor="cite_note-1" w:history="1">
        <w:r w:rsidRPr="00A55BD7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</w:t>
        </w:r>
        <w:proofErr w:type="gramEnd"/>
        <w:r w:rsidRPr="00A55BD7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1]</w:t>
        </w:r>
      </w:hyperlink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Окончательный текст КДР-2020</w:t>
      </w:r>
      <w:hyperlink r:id="rId7" w:anchor="cite_note-2" w:history="1">
        <w:r w:rsidRPr="00A55BD7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[2]</w:t>
        </w:r>
      </w:hyperlink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был утвержден Правительством РФ в ноябре 2008 г.</w:t>
      </w:r>
    </w:p>
    <w:p w:rsidR="00A55BD7" w:rsidRPr="00A55BD7" w:rsidRDefault="00A55BD7" w:rsidP="00A55BD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Необходимость разработки второго варианта КДР-2020 была обусловлена двумя причинами. Во-первых, утверждение концепции совпало с серьёзным усилением мирового финансово-экономического кризиса. До осени 2008 года он затрагивал только развитые страны, но утверждена правительством КДР была уже после того, как экономический кризис начался и в России. В результате КДР оказалась устаревшей, по сути, уже в момент своего принятия. Кризис привел к резкому и глубокому падению экономических показателей и сделал невыполнимыми большинство количественных ориентиров первого этапа реализации КДР-2020, который должен был охватить 2007—2012 года. Так, в 2012 КДР планировала достичь в отношении к 2007 году: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увеличения ожидаемой продолжительности жизни на 2,5 года;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роста ВВП на 37—38 %;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роста производительности труда на 40—41 %;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снижения энергоемкости ВВП на 17-19 %;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роста реальных располагаемых доходов населения — на 53-54 %;</w:t>
      </w:r>
    </w:p>
    <w:p w:rsidR="00A55BD7" w:rsidRPr="00A55BD7" w:rsidRDefault="00A55BD7" w:rsidP="00A55BD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роста инвестиций в основной капитал на 80—85 % и т. д.</w:t>
      </w:r>
    </w:p>
    <w:p w:rsidR="00A55BD7" w:rsidRPr="00A55BD7" w:rsidRDefault="00A55BD7" w:rsidP="00A55BD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эти показатели из-за кризиса выполнены не были.</w:t>
      </w:r>
    </w:p>
    <w:p w:rsidR="00A55BD7" w:rsidRPr="00A55BD7" w:rsidRDefault="00A55BD7" w:rsidP="00A55BD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Во-вторых, ведомственный характер разработки КДР привел к тому, что в ней детально указывались количественные ориентиры, которых следовало достичь к 2020 году в той или иной сфере, но в программе не были детально проанализированы проблемы и вызовы, стоящие перед российской экономикой и обществом. А способы достижения поставленных целей формулировались декларативно. </w:t>
      </w:r>
      <w:proofErr w:type="gramStart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Например::</w:t>
      </w:r>
      <w:proofErr w:type="gramEnd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«В России сформируется общество, основанное на доверии и ответственности, включая доверие населения к государственным и частным экономическим институтам. Значительно снизится социальная поляризация. Это будет достигнуто за счет обеспечения равных </w:t>
      </w: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возможностей для социальной мобильности талантливых представителей всех слоев общества, реализации социальной политики по поддержке уязвимых слоев населения и проведения политики, направленной на интеграцию мигрантов».</w:t>
      </w:r>
    </w:p>
    <w:p w:rsidR="00A55BD7" w:rsidRPr="00A55BD7" w:rsidRDefault="00A55BD7" w:rsidP="00A55BD7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A55BD7">
        <w:rPr>
          <w:rStyle w:val="mw-headline"/>
          <w:b w:val="0"/>
          <w:bCs w:val="0"/>
          <w:color w:val="000000"/>
          <w:sz w:val="24"/>
          <w:szCs w:val="24"/>
        </w:rPr>
        <w:t>Ход работы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 xml:space="preserve">Подготовка нового варианта стратегии была начата в декабре 2010 года по распоряжению премьера В. Путина. На площадках НИУ ВШЭ и </w:t>
      </w:r>
      <w:proofErr w:type="spellStart"/>
      <w:r w:rsidRPr="00A55BD7">
        <w:rPr>
          <w:color w:val="252525"/>
        </w:rPr>
        <w:t>РАНХиГС</w:t>
      </w:r>
      <w:proofErr w:type="spellEnd"/>
      <w:r w:rsidRPr="00A55BD7">
        <w:rPr>
          <w:color w:val="252525"/>
        </w:rPr>
        <w:t xml:space="preserve"> были созданы 21 экспертная группа под руководством ректоров Ярослава Кузьминова и Владимира </w:t>
      </w:r>
      <w:proofErr w:type="spellStart"/>
      <w:r w:rsidRPr="00A55BD7">
        <w:rPr>
          <w:color w:val="252525"/>
        </w:rPr>
        <w:t>Мау</w:t>
      </w:r>
      <w:proofErr w:type="spellEnd"/>
      <w:r w:rsidRPr="00A55BD7">
        <w:rPr>
          <w:color w:val="252525"/>
        </w:rPr>
        <w:t xml:space="preserve">. Группы провели несколько сотен заседаний, обсуждений и дискуссий. В подготовке Стратегии участвовали, в частности, Евгений Ясин, Андрей Яковлев, Лев Якобсон, Сергей </w:t>
      </w:r>
      <w:proofErr w:type="spellStart"/>
      <w:r w:rsidRPr="00A55BD7">
        <w:rPr>
          <w:color w:val="252525"/>
        </w:rPr>
        <w:t>Дробышевский</w:t>
      </w:r>
      <w:proofErr w:type="spellEnd"/>
      <w:r w:rsidRPr="00A55BD7">
        <w:rPr>
          <w:color w:val="252525"/>
        </w:rPr>
        <w:t xml:space="preserve">, Кирилл Рогов, </w:t>
      </w:r>
      <w:proofErr w:type="spellStart"/>
      <w:r w:rsidRPr="00A55BD7">
        <w:rPr>
          <w:color w:val="252525"/>
        </w:rPr>
        <w:t>Евсей</w:t>
      </w:r>
      <w:proofErr w:type="spellEnd"/>
      <w:r w:rsidRPr="00A55BD7">
        <w:rPr>
          <w:color w:val="252525"/>
        </w:rPr>
        <w:t xml:space="preserve"> Гурвич, Владимир </w:t>
      </w:r>
      <w:proofErr w:type="spellStart"/>
      <w:r w:rsidRPr="00A55BD7">
        <w:rPr>
          <w:color w:val="252525"/>
        </w:rPr>
        <w:t>Гимпельсон</w:t>
      </w:r>
      <w:proofErr w:type="spellEnd"/>
      <w:r w:rsidRPr="00A55BD7">
        <w:rPr>
          <w:color w:val="252525"/>
        </w:rPr>
        <w:t xml:space="preserve">, </w:t>
      </w:r>
      <w:proofErr w:type="spellStart"/>
      <w:r w:rsidRPr="00A55BD7">
        <w:rPr>
          <w:color w:val="252525"/>
        </w:rPr>
        <w:t>Исак</w:t>
      </w:r>
      <w:proofErr w:type="spellEnd"/>
      <w:r w:rsidRPr="00A55BD7">
        <w:rPr>
          <w:color w:val="252525"/>
        </w:rPr>
        <w:t xml:space="preserve"> Фрумин, Владимир Назаров, Ирина </w:t>
      </w:r>
      <w:proofErr w:type="spellStart"/>
      <w:r w:rsidRPr="00A55BD7">
        <w:rPr>
          <w:color w:val="252525"/>
        </w:rPr>
        <w:t>Стародубровская</w:t>
      </w:r>
      <w:proofErr w:type="spellEnd"/>
      <w:r w:rsidRPr="00A55BD7">
        <w:rPr>
          <w:color w:val="252525"/>
        </w:rPr>
        <w:t xml:space="preserve">, Ксения Юдаева, Александр </w:t>
      </w:r>
      <w:proofErr w:type="spellStart"/>
      <w:r w:rsidRPr="00A55BD7">
        <w:rPr>
          <w:color w:val="252525"/>
        </w:rPr>
        <w:t>Аузан</w:t>
      </w:r>
      <w:proofErr w:type="spellEnd"/>
      <w:r w:rsidRPr="00A55BD7">
        <w:rPr>
          <w:color w:val="252525"/>
        </w:rPr>
        <w:t xml:space="preserve">, Татьяна </w:t>
      </w:r>
      <w:proofErr w:type="spellStart"/>
      <w:r w:rsidRPr="00A55BD7">
        <w:rPr>
          <w:color w:val="252525"/>
        </w:rPr>
        <w:t>Малева</w:t>
      </w:r>
      <w:proofErr w:type="spellEnd"/>
      <w:r w:rsidRPr="00A55BD7">
        <w:rPr>
          <w:color w:val="252525"/>
        </w:rPr>
        <w:t xml:space="preserve">, Олег Вьюгин, Михаил </w:t>
      </w:r>
      <w:proofErr w:type="spellStart"/>
      <w:r w:rsidRPr="00A55BD7">
        <w:rPr>
          <w:color w:val="252525"/>
        </w:rPr>
        <w:t>Блинкин</w:t>
      </w:r>
      <w:proofErr w:type="spellEnd"/>
      <w:r w:rsidRPr="00A55BD7">
        <w:rPr>
          <w:color w:val="252525"/>
        </w:rPr>
        <w:t xml:space="preserve">, Надежда Косарева, Андрей Клименко, Юрий </w:t>
      </w:r>
      <w:proofErr w:type="spellStart"/>
      <w:r w:rsidRPr="00A55BD7">
        <w:rPr>
          <w:color w:val="252525"/>
        </w:rPr>
        <w:t>Симачев</w:t>
      </w:r>
      <w:proofErr w:type="spellEnd"/>
      <w:r w:rsidRPr="00A55BD7">
        <w:rPr>
          <w:color w:val="252525"/>
        </w:rPr>
        <w:t>, Елена Тополева, Павел Кадочников, Юрий Саакян, Юрий Удальцов, Борис Рудник, Татьяна Клячко, Наталья Акиндинова, Михаил Денисенко.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Каждая из групп регулярно проводила заседания, публиковала материалы на своей интернет-странице специально созданного сайта Стратегия 2020. Большинство заседаний проходило в открытом режиме, работа групп находила широкий отклик в прессе</w:t>
      </w:r>
      <w:hyperlink r:id="rId8" w:anchor="cite_note-3" w:history="1">
        <w:r w:rsidRPr="00A55BD7">
          <w:rPr>
            <w:rStyle w:val="a3"/>
            <w:color w:val="0B0080"/>
            <w:vertAlign w:val="superscript"/>
          </w:rPr>
          <w:t>[3]</w:t>
        </w:r>
      </w:hyperlink>
      <w:r w:rsidRPr="00A55BD7">
        <w:rPr>
          <w:color w:val="252525"/>
        </w:rPr>
        <w:t xml:space="preserve">. В работе над Стратегией 2020 приняли участие более 100 зарубежных экспертов, включая Энн </w:t>
      </w:r>
      <w:proofErr w:type="spellStart"/>
      <w:r w:rsidRPr="00A55BD7">
        <w:rPr>
          <w:color w:val="252525"/>
        </w:rPr>
        <w:t>Крюгер</w:t>
      </w:r>
      <w:proofErr w:type="spellEnd"/>
      <w:r w:rsidRPr="00A55BD7">
        <w:rPr>
          <w:color w:val="252525"/>
        </w:rPr>
        <w:t xml:space="preserve"> (бывший первый вице-президент МВФ), известного польского экономиста Марека Домбровского, Ричарда </w:t>
      </w:r>
      <w:proofErr w:type="spellStart"/>
      <w:r w:rsidRPr="00A55BD7">
        <w:rPr>
          <w:color w:val="252525"/>
        </w:rPr>
        <w:t>Болдуина</w:t>
      </w:r>
      <w:proofErr w:type="spellEnd"/>
      <w:r w:rsidRPr="00A55BD7">
        <w:rPr>
          <w:color w:val="252525"/>
        </w:rPr>
        <w:t xml:space="preserve"> (</w:t>
      </w:r>
      <w:proofErr w:type="spellStart"/>
      <w:r w:rsidRPr="00A55BD7">
        <w:rPr>
          <w:color w:val="252525"/>
        </w:rPr>
        <w:t>Graduate</w:t>
      </w:r>
      <w:proofErr w:type="spellEnd"/>
      <w:r w:rsidRPr="00A55BD7">
        <w:rPr>
          <w:color w:val="252525"/>
        </w:rPr>
        <w:t xml:space="preserve"> </w:t>
      </w:r>
      <w:proofErr w:type="spellStart"/>
      <w:r w:rsidRPr="00A55BD7">
        <w:rPr>
          <w:color w:val="252525"/>
        </w:rPr>
        <w:t>Institute</w:t>
      </w:r>
      <w:proofErr w:type="spellEnd"/>
      <w:r w:rsidRPr="00A55BD7">
        <w:rPr>
          <w:color w:val="252525"/>
        </w:rPr>
        <w:t xml:space="preserve"> в Женеве), Жерара Роланда (университет Беркли).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Работа экспертов была разбита на два основных этапа. На первом — до августа 2011 года — прорабатывались возможные развилки развития и соответствующие меры. После того, как промежуточный доклад объёмом около 600 страниц был передан в правительство, в министерствах и ведомствах прошли его обсуждения и были определены направления доработки документа.</w:t>
      </w:r>
      <w:r w:rsidRPr="00A55BD7">
        <w:rPr>
          <w:color w:val="252525"/>
        </w:rPr>
        <w:br/>
        <w:t>Итоговый доклад объёмом 864 стр.</w:t>
      </w:r>
      <w:hyperlink r:id="rId9" w:anchor="cite_note-4" w:history="1">
        <w:r w:rsidRPr="00A55BD7">
          <w:rPr>
            <w:rStyle w:val="a3"/>
            <w:color w:val="0B0080"/>
            <w:vertAlign w:val="superscript"/>
          </w:rPr>
          <w:t>[4]</w:t>
        </w:r>
      </w:hyperlink>
      <w:r w:rsidRPr="00A55BD7">
        <w:rPr>
          <w:rStyle w:val="apple-converted-space"/>
          <w:color w:val="252525"/>
        </w:rPr>
        <w:t> </w:t>
      </w:r>
      <w:r w:rsidRPr="00A55BD7">
        <w:rPr>
          <w:color w:val="252525"/>
        </w:rPr>
        <w:t>был подготовлен в декабре 2011 г. Опубликована</w:t>
      </w:r>
      <w:hyperlink r:id="rId10" w:anchor="cite_note-5" w:history="1">
        <w:r w:rsidRPr="00A55BD7">
          <w:rPr>
            <w:rStyle w:val="a3"/>
            <w:color w:val="0B0080"/>
            <w:vertAlign w:val="superscript"/>
          </w:rPr>
          <w:t>[5]</w:t>
        </w:r>
      </w:hyperlink>
      <w:r w:rsidRPr="00A55BD7">
        <w:rPr>
          <w:rStyle w:val="apple-converted-space"/>
          <w:color w:val="252525"/>
        </w:rPr>
        <w:t> </w:t>
      </w:r>
      <w:r w:rsidRPr="00A55BD7">
        <w:rPr>
          <w:color w:val="252525"/>
        </w:rPr>
        <w:t>Стратегия-2020 была в марте 2012 года под названием «Итоговый доклад о результатах экспертной работы по актуальным проблемам социально-экономической стратегии России на период до 2020 года</w:t>
      </w:r>
      <w:r w:rsidRPr="00A55BD7">
        <w:rPr>
          <w:rStyle w:val="apple-converted-space"/>
          <w:color w:val="252525"/>
        </w:rPr>
        <w:t> </w:t>
      </w:r>
      <w:r w:rsidRPr="00A55BD7">
        <w:rPr>
          <w:i/>
          <w:iCs/>
          <w:color w:val="252525"/>
        </w:rPr>
        <w:t>Стратегия 2020: Новая модель роста — новая социальная политика</w:t>
      </w:r>
      <w:r w:rsidRPr="00A55BD7">
        <w:rPr>
          <w:color w:val="252525"/>
        </w:rPr>
        <w:t>». В 2011-12 годах были также проведены социологические исследования, целью которых было выяснить отношение различных слоев общества к предложениям Стратегии-2020.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Ключевые направления работы над Стратегией 2020 видны из перечня созданных для её обсуждения и написания групп: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1. Новая модель экономического роста. Обеспечение макроэкономической и социальной стабильности (Владимир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Мау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, Евгений Ясин)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2. Бюджетная и денежная политика, макроэкономические параметры развития российской экономики (Сергей Синельников-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Мурылев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Евсей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 Гурвич)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3. Реформа пенсионной системы (Татьяна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Малева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, Ксения Юдаева)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lastRenderedPageBreak/>
        <w:t>Группа 4. Укрепление рыночных институтов. Обеспечение стабильности условий собственности и развития конкуренции, стимулирование малого предпринимательства (Андрей Яковлев)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5. Переход от стимулирования инноваций к росту на их основе (Леонид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Гохберг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6. Налоговая политика (Сергей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Дробышевский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, Александр Галушка)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7. Рынок труда, профессиональное образование, миграционная политика (Ярослав Кузьминов, Владимир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Гимпельсон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, Михаил Денисенко, Татьяна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Четвернина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8. Новая школа (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Исак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 Фрумин,</w:t>
      </w:r>
      <w:r w:rsidRPr="00A55BD7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11" w:tooltip="Каспржак, Анатолий Георгиевич" w:history="1">
        <w:r w:rsidRPr="00A55BD7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 xml:space="preserve">Анатолий </w:t>
        </w:r>
        <w:proofErr w:type="spellStart"/>
        <w:r w:rsidRPr="00A55BD7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Каспржак</w:t>
        </w:r>
        <w:proofErr w:type="spellEnd"/>
      </w:hyperlink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9. Сокращение неравенства и преодоление бедности (Владимир Назаров, Полина Козырева)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10. Развитие финансового и банковского сектора (Герман Греф, Олег Вьюгин)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11. Здоровье и среда обитания человека (Лев Якобсон, Сергей Шишкин)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12. Реальный федерализм, местное самоуправление, межбюджетная политика (Ирина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Стародубровская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, Вячеслав Глазычев)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13. Повышение эффективности государственных инвестиций и государственных закупок, создание федеральной контрактной системы (Александр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Шамрин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, Илья Соколов)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14. Оптимизация присутствия государства: сокращение регулирующих функций, обеспечение прозрачности и обратной связи с гражданами и бизнесом (Андрей Клименко, Александр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Аузан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15. Управление государственной собственностью и приватизация (Юрий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Симачев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, Александр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Радыгин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16. Развитие общественных институтов (Елена Тополева, Михаил Федотов)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17. Реформа бюджетного сектора в экономике (Борис Рудник, Татьяна Клячко)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18. Реформа естественных монополий (Юрий Саакян, Юрий Удальцов)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Группа 19. Преодоление территориальной и информационной разобщенности: развитие транспортной системы, связи и информации (Михаил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Блинкин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 xml:space="preserve">, Ольга </w:t>
      </w:r>
      <w:proofErr w:type="spellStart"/>
      <w:r w:rsidRPr="00A55BD7">
        <w:rPr>
          <w:rFonts w:ascii="Times New Roman" w:hAnsi="Times New Roman" w:cs="Times New Roman"/>
          <w:color w:val="252525"/>
          <w:sz w:val="24"/>
          <w:szCs w:val="24"/>
        </w:rPr>
        <w:t>Дергунова</w:t>
      </w:r>
      <w:proofErr w:type="spellEnd"/>
      <w:r w:rsidRPr="00A55BD7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20. Международная позиция России: экономические ориентиры (Павел Кадочников, Александр Дынкин)</w:t>
      </w:r>
    </w:p>
    <w:p w:rsidR="00A55BD7" w:rsidRPr="00A55BD7" w:rsidRDefault="00A55BD7" w:rsidP="00A55B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A55BD7">
        <w:rPr>
          <w:rFonts w:ascii="Times New Roman" w:hAnsi="Times New Roman" w:cs="Times New Roman"/>
          <w:color w:val="252525"/>
          <w:sz w:val="24"/>
          <w:szCs w:val="24"/>
        </w:rPr>
        <w:t>Группа 21. Развитие экономической и социальной интеграции в постсоветском пространстве (Татьяна Валовая, Андрей Спартак)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Стратегия 2020 состоит из 25 глав, объединённых в 6 разделов, приложения, описывающего «бюджетный маневр» (изменения в расходах федерального бюджета), а также перечня мер по каждому из направлений развития, рассмотренных экспертами. Вот как структурирована стратегия: Предисловие. Новая модель роста — новая социальная политика</w:t>
      </w: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Раздел I. Новая модель роста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Глава 1. Новая модель экономического роста. Обеспечение макроэкономической и социальной стабильности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2. Стратегии улучшения делового климата и повышения инвестиционной привлекательности в целях перехода к модели устойчивого роста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3. От стимулирования инноваций к росту на их основе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Раздел II. Макроэкономика. Базовые условия роста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4. Бюджетная и денежная политика, макроэкономические параметры и развитие российской экономики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5. Налоговая политика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6. Реформа пенсионной системы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7. Развитие финансового и банковского сектора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Раздел III. Новая социальная политика. Развитие человеческого капитала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8. Рынок труда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9. Миграция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10. Профессиональное образование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11. Новая школа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12. Сокращение неравенства и преодоление бедности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13. Политика охраны здоровья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Раздел IV. Инфраструктура. Сбалансированное развитие, комфортная среда для жизни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14. Государственная жилищная политика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15. Преодоление территориальной разобщенности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16. Снятие ограничений на развитие тепло- и электроэнергетики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17. Преодоление информационной разобщенности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Раздел V. Эффективное государство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18. Оптимизация присутствия государства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19. Развитие общественных институтов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20. Управление государственной собственностью и приватизация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Глава 21. Повышение эффективности государственных инвестиций и </w:t>
      </w:r>
      <w:proofErr w:type="spellStart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госзакупок</w:t>
      </w:r>
      <w:proofErr w:type="spellEnd"/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22. Реформа бюджетного сектора в экономике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23. Реальный федерализм, местное самоуправление, межбюджетная политика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Раздел VI. Внешний контур развития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24. Международная позиция России: экономические ориентиры</w:t>
      </w:r>
    </w:p>
    <w:p w:rsidR="00A55BD7" w:rsidRPr="00A55BD7" w:rsidRDefault="00A55BD7" w:rsidP="00A55BD7">
      <w:pPr>
        <w:pStyle w:val="a5"/>
        <w:numPr>
          <w:ilvl w:val="0"/>
          <w:numId w:val="2"/>
        </w:num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Глава 25. Развитие экономической и социальной интеграции на постсоветском </w:t>
      </w:r>
      <w:proofErr w:type="spellStart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пространстве"Бюджетный</w:t>
      </w:r>
      <w:proofErr w:type="spellEnd"/>
      <w:r w:rsidRPr="00A55B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маневр" (предложения по реструктуризации расходной части бюджета)</w:t>
      </w:r>
    </w:p>
    <w:p w:rsidR="00A55BD7" w:rsidRPr="00A55BD7" w:rsidRDefault="00A55BD7" w:rsidP="00A55BD7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A55BD7">
        <w:rPr>
          <w:rStyle w:val="mw-headline"/>
          <w:b w:val="0"/>
          <w:bCs w:val="0"/>
          <w:color w:val="000000"/>
          <w:sz w:val="24"/>
          <w:szCs w:val="24"/>
        </w:rPr>
        <w:t>Содержание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 xml:space="preserve">Стратегия 2020 базируется на двух основаниях — новой модели экономического роста и новой социальной политике. Новая модель роста необходима, поскольку исчерпала себя прежняя модель, опиравшаяся на быстрый рост внутреннего спроса и цен на товары российского экспорта. Без новой модели роста невозможна и новая социальная политика: </w:t>
      </w:r>
      <w:r w:rsidRPr="00A55BD7">
        <w:rPr>
          <w:color w:val="252525"/>
        </w:rPr>
        <w:lastRenderedPageBreak/>
        <w:t>России необходимы темпы роста экономики как минимум на 5 % в год. При этом это должен быть рост, не основанный на экспорте сырья и государственном перераспределении ресурсов из сырьевого сектора в сектора экономики с низкой эффективностью и высокой занятостью.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Одна из основных идей Стратегии 2020 — манёвр, который позволяет задействовать неиспользованные ранее факторы конкурентоспособности — высокое качество человеческого потенциала, научный потенциал. Новая социальная политика должна учитывать не только интересы незащищенных слоев населения, но и тех, которые способны реализовать потенциал инновационного развития. Это средний класс, который с экономической точки зрения характеризуется возможностью выбирать модели трудового поведения и потребления.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Новая модель роста может быть выстроена при последовательном снижении инфляции и принятии бюджетных правил, регулирующих расходы бюджета в зависимости от долгосрочной цены нефти. Это необходимо для того, чтобы бюджет был стабилен и сбалансирован, чтобы остановить неоправданный и неэффективный рост расходов. Второй комплекс мер, связанных с формированием новой модели, связан со снятием институциональных барьеров для экономического роста. Это попытка сделать внешнюю среду менее агрессивной по отношению к бизнесу, улучшить деловой климат, развить конкурентную среду. Стратегия-2020 выделяет основные проблемы и препятствия в госрегулировании, сдерживающие экономический рост и спрос экономики на инновации.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Экономика ближайшего будущего будет постиндустриальной, в её основе — сервисные отрасли, ориентированные на развитие человеческого капитала: образование, медицина, информационные технологии, медиа, дизайн. В этой области у России есть конкурентные преимущества, но они быстро растрачиваются в силу устойчивого недофинансирования социальных систем и неэффективного управления ими. В основе предложений Стратегии-2020 в социальной сфере — стремление восстановить и закрепить сравнительные преимущества страны в сфере образования, культуры, медицины.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 xml:space="preserve">Для этого оказание услуг, связанных с развитием человеческого капитала, должно перестать быть государственной </w:t>
      </w:r>
      <w:proofErr w:type="spellStart"/>
      <w:r w:rsidRPr="00A55BD7">
        <w:rPr>
          <w:color w:val="252525"/>
        </w:rPr>
        <w:t>квази</w:t>
      </w:r>
      <w:proofErr w:type="spellEnd"/>
      <w:r w:rsidRPr="00A55BD7">
        <w:rPr>
          <w:color w:val="252525"/>
        </w:rPr>
        <w:t xml:space="preserve">-монополией, где некоммерческие и частные операторы допускаются лишь к услугам, которые государственная </w:t>
      </w:r>
      <w:proofErr w:type="spellStart"/>
      <w:r w:rsidRPr="00A55BD7">
        <w:rPr>
          <w:color w:val="252525"/>
        </w:rPr>
        <w:t>соцсистема</w:t>
      </w:r>
      <w:proofErr w:type="spellEnd"/>
      <w:r w:rsidRPr="00A55BD7">
        <w:rPr>
          <w:color w:val="252525"/>
        </w:rPr>
        <w:t xml:space="preserve"> предоставить не может. Необходима реструктуризация бюджетной сферы, равенство организаций всех форм собственности (включая некоммерческие организации и частный бизнес) при оказании бюджетных услуг, развитие профессиональных сообществ и передача им части регулирующих функций и, конечно, конкурентоспособная оплата в бюджетном секторе.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Такой подход требует «бюджетного маневра» — частичной смены приоритетов в расходах бюджета. К 2020 году предлагается увеличить финансирование инфраструктуры и человеческого капитала на 4 % ВВП, для поддержания сбалансированности бюджета сократив при этом другие расходы на 4 % ВВП (в основном за счет расходов на оборону и безопасность, трат на госаппарат и субсидий предприятиям).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lastRenderedPageBreak/>
        <w:t>Оценивая перспективы развития каждого из направлений, рассмотренных в Стратегии, разработчики рассматривали несколько сценариев — инерционные (если реформы не проводятся), сценарии жесткой реформы (при её проведении проигрывающим сторонам не компенсируются их потери) и сценарии оптимальной реформы, максимально учитывающие интересы различных заинтересованных групп. Таким образом, у политиков, анализирующих стратегию, есть возможность выбора</w:t>
      </w:r>
    </w:p>
    <w:p w:rsidR="00A55BD7" w:rsidRPr="00A55BD7" w:rsidRDefault="00A55BD7" w:rsidP="00A55BD7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A55BD7">
        <w:rPr>
          <w:rStyle w:val="mw-headline"/>
          <w:b w:val="0"/>
          <w:bCs w:val="0"/>
          <w:color w:val="000000"/>
          <w:sz w:val="24"/>
          <w:szCs w:val="24"/>
        </w:rPr>
        <w:t>Обсуждение и критика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 xml:space="preserve">После </w:t>
      </w:r>
      <w:proofErr w:type="gramStart"/>
      <w:r w:rsidRPr="00A55BD7">
        <w:rPr>
          <w:color w:val="252525"/>
        </w:rPr>
        <w:t>опубликования итогового доклада</w:t>
      </w:r>
      <w:proofErr w:type="gramEnd"/>
      <w:r w:rsidRPr="00A55BD7">
        <w:rPr>
          <w:color w:val="252525"/>
        </w:rPr>
        <w:t xml:space="preserve"> курировавшие работу экспертных групп В. </w:t>
      </w:r>
      <w:proofErr w:type="spellStart"/>
      <w:r w:rsidRPr="00A55BD7">
        <w:rPr>
          <w:color w:val="252525"/>
        </w:rPr>
        <w:t>Мау</w:t>
      </w:r>
      <w:proofErr w:type="spellEnd"/>
      <w:r w:rsidRPr="00A55BD7">
        <w:rPr>
          <w:color w:val="252525"/>
        </w:rPr>
        <w:t xml:space="preserve"> и Я. Кузьминов заявляли, что рассчитывают на поддержку основных предложений Стратегии 2020 со стороны президента и председателя правительства РФ. При этом они признавали и наличие расхождений во взглядах: «Ключевое расхождение (позиций экспертов и властей) — это пенсионная реформа. Нам кажется, что без более серьезных мер по прекращению дотаций из бюджета пенсионных обязательств мы не достигнем макроэкономической стабильности в близкой перспективе», — сказал Я. Кузьминов. Однако, напомнил эксперт, Путин ранее заявлял, что является сторонником «мягкого сценария», когда, в частности, пенсионный возраст не повышается (РИА Новости, 16.03.2012</w:t>
      </w:r>
      <w:hyperlink r:id="rId12" w:anchor="cite_note-6" w:history="1">
        <w:r w:rsidRPr="00A55BD7">
          <w:rPr>
            <w:rStyle w:val="a3"/>
            <w:color w:val="0B0080"/>
            <w:vertAlign w:val="superscript"/>
          </w:rPr>
          <w:t>[6]</w:t>
        </w:r>
      </w:hyperlink>
      <w:r w:rsidRPr="00A55BD7">
        <w:rPr>
          <w:color w:val="252525"/>
        </w:rPr>
        <w:t>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 xml:space="preserve">Зимой 2011/12 годов основные идеи Стратегии обсуждались с президентом, руководством российского правительства, с ключевыми ведомствами. Многие положения Стратегии 2020 уже стали программой деятельности госорганов: в Москве в борьбе с пробками реализуется подход, отстаиваемый Михаилом </w:t>
      </w:r>
      <w:proofErr w:type="spellStart"/>
      <w:r w:rsidRPr="00A55BD7">
        <w:rPr>
          <w:color w:val="252525"/>
        </w:rPr>
        <w:t>Блинкиным</w:t>
      </w:r>
      <w:proofErr w:type="spellEnd"/>
      <w:r w:rsidRPr="00A55BD7">
        <w:rPr>
          <w:color w:val="252525"/>
        </w:rPr>
        <w:t xml:space="preserve"> (неявные общественные субсидии владельцем автотранспорта должны быть сокращены за счет ограничений на парковку в центре города и т. д). Минфин и Минэкономразвития уточняют детали бюджетного правила, регулирующего расходы бюджета и уровень госдолга. Очень активное обсуждение идет и по предложениям Стратегии 2020, связанным с пенсионной реформой.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color w:val="252525"/>
        </w:rPr>
        <w:t>Критики Стратегии 2020 акцентируют внимание на том, что некоторые вопросы в ней не рассмотрены или проанализированы недостаточно подробно (политическая реформа, борьба с коррупцией, реформа правоохранительной системы). Многократно высказывалось соображение, что нынешнее руководство страны не сможет реализовать основных положений Стратегии. В то же время некоторые лидеры оппозиционного движения на вопрос о том, в чём будет заключаться ваша позитивная программа после успеха на выборах, советовали спрашивающим почитать Стратегию-2020: там изложена инвариантная программа реформ. А в главе о федерализме и местном самоуправлении предложен достаточно радикальный план возвращения политических свобод на региональном и местном уровне.</w:t>
      </w:r>
    </w:p>
    <w:p w:rsidR="00A55BD7" w:rsidRPr="00A55BD7" w:rsidRDefault="00A55BD7" w:rsidP="00A55BD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55BD7">
        <w:rPr>
          <w:b/>
          <w:bCs/>
          <w:color w:val="252525"/>
        </w:rPr>
        <w:t>Молодёжная Стратегия-2020</w:t>
      </w:r>
      <w:r w:rsidRPr="00A55BD7">
        <w:rPr>
          <w:color w:val="252525"/>
        </w:rPr>
        <w:t>. С 2012 г. НИУ Высшая школа экономики при поддержке ведущих ВУЗов РФ проводит дискуссионную площадку</w:t>
      </w:r>
      <w:r w:rsidRPr="00A55BD7">
        <w:rPr>
          <w:rStyle w:val="apple-converted-space"/>
          <w:color w:val="252525"/>
        </w:rPr>
        <w:t> </w:t>
      </w:r>
      <w:hyperlink r:id="rId13" w:history="1">
        <w:r w:rsidRPr="00A55BD7">
          <w:rPr>
            <w:rStyle w:val="a3"/>
            <w:color w:val="663366"/>
          </w:rPr>
          <w:t>«Молодёжная стратегия-2020»</w:t>
        </w:r>
      </w:hyperlink>
      <w:r w:rsidRPr="00A55BD7">
        <w:rPr>
          <w:color w:val="252525"/>
        </w:rPr>
        <w:t xml:space="preserve">. В её рамках молодые эксперты регулярно обсуждают тезисы доклада «Стратегия-2020» и предлагают собственные пути решения социально-экономических проблем страны. Тематика открытых обсуждений соответствует основным вопросам, которые были </w:t>
      </w:r>
      <w:r w:rsidRPr="00A55BD7">
        <w:rPr>
          <w:color w:val="252525"/>
        </w:rPr>
        <w:lastRenderedPageBreak/>
        <w:t>рассмотрены экспертным сообществом в докладе «Стратегия-2020». Студенты планируют уделить особое внимание реформе образования и здравоохранения, развитию малого и среднего предпринимательства, выработке предложений по улучшению делового климата в нашей стране, вопросам региональной политики. Своеобразным итогом работы станет публикация «Молодёжной стратегии-2020». Участники проекта представят свои предложения и дополнения, актуальные в связи с постоянно изменяющейся конъюнктурой мировых рынков и российской экономической действительности.</w:t>
      </w:r>
    </w:p>
    <w:p w:rsidR="00A55BD7" w:rsidRDefault="00A55BD7"/>
    <w:sectPr w:rsidR="00A5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7BA"/>
    <w:multiLevelType w:val="multilevel"/>
    <w:tmpl w:val="517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B7771"/>
    <w:multiLevelType w:val="multilevel"/>
    <w:tmpl w:val="DD3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CA"/>
    <w:rsid w:val="000D3ECA"/>
    <w:rsid w:val="00840E46"/>
    <w:rsid w:val="00A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57C9-4D30-4D9D-987C-521A1CE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BD7"/>
  </w:style>
  <w:style w:type="character" w:styleId="a3">
    <w:name w:val="Hyperlink"/>
    <w:basedOn w:val="a0"/>
    <w:uiPriority w:val="99"/>
    <w:semiHidden/>
    <w:unhideWhenUsed/>
    <w:rsid w:val="00A55B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55BD7"/>
  </w:style>
  <w:style w:type="character" w:customStyle="1" w:styleId="mw-editsection">
    <w:name w:val="mw-editsection"/>
    <w:basedOn w:val="a0"/>
    <w:rsid w:val="00A55BD7"/>
  </w:style>
  <w:style w:type="character" w:customStyle="1" w:styleId="mw-editsection-bracket">
    <w:name w:val="mw-editsection-bracket"/>
    <w:basedOn w:val="a0"/>
    <w:rsid w:val="00A55BD7"/>
  </w:style>
  <w:style w:type="character" w:customStyle="1" w:styleId="mw-editsection-divider">
    <w:name w:val="mw-editsection-divider"/>
    <w:basedOn w:val="a0"/>
    <w:rsid w:val="00A55BD7"/>
  </w:style>
  <w:style w:type="paragraph" w:styleId="a4">
    <w:name w:val="Normal (Web)"/>
    <w:basedOn w:val="a"/>
    <w:uiPriority w:val="99"/>
    <w:semiHidden/>
    <w:unhideWhenUsed/>
    <w:rsid w:val="00A5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B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1%82%D0%B5%D0%B3%D0%B8%D1%8F_2020" TargetMode="External"/><Relationship Id="rId13" Type="http://schemas.openxmlformats.org/officeDocument/2006/relationships/hyperlink" Target="http://y202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1%80%D0%B0%D1%82%D0%B5%D0%B3%D0%B8%D1%8F_2020" TargetMode="External"/><Relationship Id="rId12" Type="http://schemas.openxmlformats.org/officeDocument/2006/relationships/hyperlink" Target="https://ru.wikipedia.org/wiki/%D0%A1%D1%82%D1%80%D0%B0%D1%82%D0%B5%D0%B3%D0%B8%D1%8F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0%D1%82%D0%B5%D0%B3%D0%B8%D1%8F_2020" TargetMode="External"/><Relationship Id="rId11" Type="http://schemas.openxmlformats.org/officeDocument/2006/relationships/hyperlink" Target="https://ru.wikipedia.org/wiki/%D0%9A%D0%B0%D1%81%D0%BF%D1%80%D0%B6%D0%B0%D0%BA,_%D0%90%D0%BD%D0%B0%D1%82%D0%BE%D0%BB%D0%B8%D0%B9_%D0%93%D0%B5%D0%BE%D1%80%D0%B3%D0%B8%D0%B5%D0%B2%D0%B8%D1%87" TargetMode="External"/><Relationship Id="rId5" Type="http://schemas.openxmlformats.org/officeDocument/2006/relationships/hyperlink" Target="https://ru.wikipedia.org/wiki/%D0%A0%D0%BE%D1%81%D1%81%D0%B8%D0%B9%D1%81%D0%BA%D0%BE%D0%B5_%D0%BF%D1%80%D0%B0%D0%B2%D0%B8%D1%82%D0%B5%D0%BB%D1%8C%D1%81%D1%82%D0%B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1%82%D1%80%D0%B0%D1%82%D0%B5%D0%B3%D0%B8%D1%8F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1%82%D0%B5%D0%B3%D0%B8%D1%8F_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2015-11-25T20:20:00Z</cp:lastPrinted>
  <dcterms:created xsi:type="dcterms:W3CDTF">2015-11-25T20:10:00Z</dcterms:created>
  <dcterms:modified xsi:type="dcterms:W3CDTF">2015-11-25T20:21:00Z</dcterms:modified>
</cp:coreProperties>
</file>