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20"/>
      </w:tblGrid>
      <w:tr w:rsidR="00783818" w:rsidRPr="00DD2664" w:rsidTr="00BE0695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vAlign w:val="center"/>
            <w:hideMark/>
          </w:tcPr>
          <w:p w:rsidR="00B062DF" w:rsidRDefault="00B062DF" w:rsidP="006B586D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99043"/>
                <w:kern w:val="3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-146685</wp:posOffset>
                  </wp:positionV>
                  <wp:extent cx="2018030" cy="2090420"/>
                  <wp:effectExtent l="19050" t="0" r="1270" b="0"/>
                  <wp:wrapNone/>
                  <wp:docPr id="1" name="Рисунок 1" descr="http://im2-tub.yandex.net/i?id=125691308&amp;tov=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.yandex.net/i?id=125691308&amp;tov=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09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818" w:rsidRPr="00D47AFE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  <w:t>экологическ</w:t>
            </w:r>
            <w:r w:rsidR="0031026A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  <w:t>ий паспорт</w:t>
            </w:r>
          </w:p>
          <w:p w:rsidR="00783818" w:rsidRPr="00D47AFE" w:rsidRDefault="00783818" w:rsidP="006B586D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  <w:t>кабинета биологии</w:t>
            </w:r>
            <w:r w:rsidR="0031026A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2"/>
                <w:szCs w:val="32"/>
                <w:lang w:eastAsia="ru-RU"/>
              </w:rPr>
              <w:t xml:space="preserve"> №19</w:t>
            </w:r>
          </w:p>
          <w:p w:rsidR="00783818" w:rsidRPr="00D47AFE" w:rsidRDefault="002564EE" w:rsidP="006B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1026A" w:rsidRDefault="0031026A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31026A" w:rsidRDefault="0031026A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31026A" w:rsidRDefault="0031026A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31026A" w:rsidRDefault="0031026A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Введение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Одной из ведущих задач экологического образования в настоящее время стало формирование ответственного отношения к окружающей среде. Для ее решения требуется организация не только теоретических занятий, но и практической деятельности, в ходе которой мы учимся овладевать умениями и навыками правильного поведения в природе, учимся оценивать состояние окружающей среды ближайшего природного окружения – двора, улицы; вносить свой практический вклад в сохранение и улучшение богатств и красоты природы. Наиболее интересным аспектом деятельности в этом направлении является участие в работе по изучению и оценке экологического состояния кабинета.</w:t>
            </w:r>
          </w:p>
          <w:p w:rsidR="00783818" w:rsidRPr="00D47AFE" w:rsidRDefault="000F6645" w:rsidP="006B586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Площадь  и кубатура 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кабинета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Площадь обычного учебного кабинета, рассчитанного для работы 40 учащихся младших классов и 35 учащихся старших классов, должна быть 55м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На каждого учащегося должно приходиться от 1,25 до 1,5м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площади класса (без учета места, занятого стенными шкафами) и не менее 4–5м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При кабинетной системе нормативы площади, необходимой для занятия одного учащегося, увеличиваются до 2м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Данные по кабинету биологии: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длина помещения – 8,17 м;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ширина – 5,55 м;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высота – 2,91 м;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площадь кабинета – 45,34 м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;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кубатура – 132,04 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 каждого учащегося в кабинете приходится: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площадь 1,5 м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кубатура 4,4 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что соответствует санитарно-гигиеническим 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Кабинет биологии состоит из 2 смежных комнат: класс-лаборатория площадью 45,34 м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и лаборантская комната площадью 17,2 м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2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. Кабинет расположен на третьем 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этаже с ориентировкой окон на восток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Кабине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 биологии обеспечен столами (14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штук) с пластиковым покрытием. Электрическая сеть не подведена к 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ученическим столам.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Рабочее место учителя состоит из демонстрационного стола, классной доски, экрана. В кабинете доска классная створчатая, состоит из трех щитов, два из которых открываются в стороны (размер основного щита 1,7 </w:t>
            </w:r>
            <w:proofErr w:type="spell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х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1 м). Для использования учебных пособий на магнитной основе классная доска изготовлена из железа. Для размещения 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ТОО в кабинете имеются подставка для размещения на ней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телевизора, Все шкафы установлены в лаборантской комнате. Оборудование в шкафах размещено согласно правилам хранения и частоте его использования на уроках. В лаборантской комнате имеется демонстрационный стол, где учитель готовит необходимое к уроку оборудование.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 целях пожарной безопасности в лаборантской комнате имеются:</w:t>
            </w:r>
          </w:p>
          <w:p w:rsidR="000F6645" w:rsidRPr="000F6645" w:rsidRDefault="00783818" w:rsidP="006B586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Огнетушитель</w:t>
            </w:r>
          </w:p>
          <w:p w:rsidR="00783818" w:rsidRPr="000F6645" w:rsidRDefault="00783818" w:rsidP="006B586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Аптечка первой помощи, в которую входят: стерильный бинт, марлевые салфетки, борная кислота кристаллическая, борный вазелин, нашатырный спирт, сода питьевая, валериановые капли, бриллиантовая </w:t>
            </w:r>
            <w:r w:rsidRP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зелень, раствор йода спиртовой (5%), лейкопластырь, мазь от ожогов, стакан для питья, глазная ванночка, чистое полотенце, мыло.</w:t>
            </w:r>
            <w:proofErr w:type="gramEnd"/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Площадь кабинета позволяет расставить мебель с соблюдением санитарно-гигиенических норм. Ученические столы стоят в три ряда. Расстояние между столами в ряду 0,5 – 0,7 м, между рядами столов и боковыми стенами помещения – 0,5 м, от первых 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столов до передней стены около 6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м.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Натуральные объекты хранятся в шкафах с глухими дверками, т.к. они выцветают от действия прямых солнечных лучей. Очень часто эти пособия повреждают насекомые, для борьбы с которыми используется нафталин. Два раза в год производится дезинфекция: опрыскивание ядовитыми веществами. К обработке учебного оборудования ядовитыми веществами категорически запрещается допускать учащихся. Дезинфекцию проводит учитель в период школьных каникул, после чего помещение тщательно проветривается.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Микропрепараты находятся в фабричной упаковке так, чтобы они располагались горизонтально, это предохраняет их от оплывания.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Таблицы хранятся </w:t>
            </w:r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="000F664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стелажах</w:t>
            </w:r>
            <w:proofErr w:type="spellEnd"/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Диафильмы, диапозитивы содержатся в фабричной упаковке и размещены в укладках.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Микропрепараты, таблицы, диафильмы, диапозитивы классифицируют по классам, по темам уроков.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Для хранения оптических приборов (микроскопов, </w:t>
            </w:r>
            <w:proofErr w:type="spell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препаровальных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и ручн</w:t>
            </w:r>
            <w:r w:rsidR="009F35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ых луп) </w:t>
            </w:r>
            <w:proofErr w:type="gramStart"/>
            <w:r w:rsidR="009F35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отведен</w:t>
            </w:r>
            <w:proofErr w:type="gramEnd"/>
            <w:r w:rsidR="009F35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специальный </w:t>
            </w:r>
            <w:proofErr w:type="spellStart"/>
            <w:r w:rsidR="009F35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стелаж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 кабинете имеется лабораторная посуда: химические стаканы, колбы, мензурки, пробки и др.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К хранению химических реактивов предъявляются особые требования. Растворы и сухие вещества содержатся в стеклянных банках с притертыми крышками. Каждая банка снабжена этикеткой с названием, формулой вещества и его концентрацией. Органические вещества (спирт, формалин) хранятся в кабинете химии.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Цветовая гамма кабинета и ее соответствие санитарным нормам.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Для 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кабинета  использовали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краску спокойных тонов слабой насыщенности. О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 обеспечивае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 лучшую адаптацию зрения к письму, чтению и другим видам занятий. Рабочая поверхность к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лассной доски  ровная, прочно удерживает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мел при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написании текста, обеспечивает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легкое стирание мела. Цвет стены, на который расположена классная доска, должен быть более светлым, чем остальные стены.</w:t>
            </w:r>
          </w:p>
          <w:p w:rsidR="003D3670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Стены кабинета биологии окрашены в светло-голубой цве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т, т.к. помещение обращено на восток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. Дверь покрашена в белый цвет, но на ней разными красками изображены клетки для наглядности на уроках. Оконные рамы тоже покрашены в белый цвет. Полы покрыты линолеумом 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желто - коричневого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цвета. Крышки столов имеют свет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ло-коричневый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цвет. Классная доска имеет темно-зеленый цвет, рабочая поверхность ровная, прочно удерживает мел при написании текста, мел легкое стирается. Цвет стены, на которой расположена классная доска, совсем не отличается от общего фона стен кабинета</w:t>
            </w:r>
          </w:p>
          <w:p w:rsidR="006B586D" w:rsidRDefault="006B586D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783818" w:rsidRPr="00D47AFE" w:rsidRDefault="003D3670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Температура 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воздуха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 кабинете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Средняя температура воздуха в помещении равна 18,4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о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С.</w:t>
            </w:r>
          </w:p>
          <w:p w:rsidR="00783818" w:rsidRPr="00D47AFE" w:rsidRDefault="003D3670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Влажность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воздуха в кабинете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Пользуясь психрометром, определили относительную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влажность воздуха. Она составила 54%.</w:t>
            </w:r>
          </w:p>
          <w:p w:rsidR="00783818" w:rsidRPr="00D47AFE" w:rsidRDefault="003D3670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В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ен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тиляционный  режим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кабинета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Кабинет проветривается систематически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proofErr w:type="gramEnd"/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что соответствует санитарно-гигиеническим нормам.</w:t>
            </w:r>
          </w:p>
          <w:p w:rsidR="003D3670" w:rsidRDefault="003D3670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Освещенность </w:t>
            </w:r>
            <w:r w:rsidR="00783818"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кабинета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Естественная освещенность соответствует норме. </w:t>
            </w:r>
            <w:r w:rsidR="003D36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Искусственная освещённость в классе не соответствует норме.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Растения в кабинете биологии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Любой растительный организм в процессе своей деятельности вырабатывает вещества различной химической природы, в том числе и те, которые помогают в борьбе с болезнетворными микроорганизмами, способствуют выработке у растений иммунитета против различных заболеваний.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К таким веществам относятся фитонциды – биологически активные вещества, убивающие или подавляющие рост и развитие не только различных микроорганизмов, но и паразитических червей, насекомых – переносчиков и возбудителей инфекционных заболеваний. По своей химической природе фитонциды чрезвычайно разнообразны: гликозиды, </w:t>
            </w:r>
            <w:proofErr w:type="spell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териеноиды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другие вторичные метаболиты.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Фитонциды защищают человека от многих заболеваний, улучшают его самочувствие и работоспособность. Активными продуцентами этих летучих веществ являются многие древесные и кустарниковые растения. В классе имеются следующие растения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:</w:t>
            </w:r>
            <w:proofErr w:type="gramEnd"/>
            <w:r w:rsid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китайский (гибискус), несколько видов бегоний, герань, </w:t>
            </w:r>
            <w:proofErr w:type="spell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хлорофитум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колеус. Воздух закрытых помещений насыщен микроорганизмами, в том числе и болезнетворными. Вот почему при подборе цветов для озеленения школьных помещений необходимо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 xml:space="preserve">учитывать не только их декоративность, но и </w:t>
            </w:r>
            <w:proofErr w:type="spell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фитонцидные</w:t>
            </w:r>
            <w:proofErr w:type="spell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свойства. 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Большую роль в оформлении кабинета биологии играют растения. При подборе растений, прежде всего, следует исходить из возможности использования их на уроках и во внеклассной работе.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Все растения снабжены этикетками, которые закреплены к цветочным вазонам. На этикетках 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обозначены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видовое название, семейство, родина.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 кабинете имеются растения, которые используются в урочное и во </w:t>
            </w:r>
            <w:proofErr w:type="gramStart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вне</w:t>
            </w:r>
            <w:proofErr w:type="gramEnd"/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урочное время. Количество ра</w:t>
            </w:r>
            <w:r w:rsid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стений в кабинете составляет </w:t>
            </w:r>
            <w:r w:rsidR="00BE0695" w:rsidRP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36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штук. Все растения находятся в отличном состоянии, ухожены, рационально размещены. Учитель вместе </w:t>
            </w:r>
            <w:r w:rsidR="00BE0695" w:rsidRP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BE0695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</w:t>
            </w:r>
            <w:r w:rsidR="00BE0695" w:rsidRP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BE069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детьми </w:t>
            </w: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вкладывает огромный труд по уходу за этими растениями. </w:t>
            </w:r>
          </w:p>
          <w:p w:rsidR="00783818" w:rsidRPr="00D47AFE" w:rsidRDefault="00783818" w:rsidP="006B5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47AF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87381A" w:rsidRDefault="0087381A" w:rsidP="006B586D">
      <w:pPr>
        <w:jc w:val="both"/>
      </w:pPr>
    </w:p>
    <w:sectPr w:rsidR="0087381A" w:rsidSect="0087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B25"/>
    <w:multiLevelType w:val="multilevel"/>
    <w:tmpl w:val="9790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7929"/>
    <w:multiLevelType w:val="hybridMultilevel"/>
    <w:tmpl w:val="D354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B6D51"/>
    <w:multiLevelType w:val="multilevel"/>
    <w:tmpl w:val="04F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72419"/>
    <w:multiLevelType w:val="multilevel"/>
    <w:tmpl w:val="077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A1FE7"/>
    <w:multiLevelType w:val="multilevel"/>
    <w:tmpl w:val="495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3818"/>
    <w:rsid w:val="000F6645"/>
    <w:rsid w:val="002564EE"/>
    <w:rsid w:val="0031026A"/>
    <w:rsid w:val="003D3670"/>
    <w:rsid w:val="006B586D"/>
    <w:rsid w:val="0073575E"/>
    <w:rsid w:val="00783818"/>
    <w:rsid w:val="0087381A"/>
    <w:rsid w:val="00941FC4"/>
    <w:rsid w:val="009F3501"/>
    <w:rsid w:val="00B062DF"/>
    <w:rsid w:val="00BE0695"/>
    <w:rsid w:val="00D47AFE"/>
    <w:rsid w:val="00E466B8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12&amp;text=%D0%BF%D0%B0%D1%81%D0%BF%D0%BE%D1%80%D1%82%20%D0%BA%D0%B0%D0%B1%D0%B8%D0%BD%D0%B5%D1%82%D0%B0%20%D0%B1%D0%B8%D0%BE%D0%BB%D0%BE%D0%B3%D0%B8%D0%B8%20%D0%B2%20%D1%88%D0%BA%D0%BE%D0%BB%D0%B5&amp;spsite=fake-020-128883.ru&amp;img_url=binoculars.ru/images/imicros/BioView590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Директор</cp:lastModifiedBy>
  <cp:revision>9</cp:revision>
  <cp:lastPrinted>2009-11-20T04:31:00Z</cp:lastPrinted>
  <dcterms:created xsi:type="dcterms:W3CDTF">2009-11-18T02:38:00Z</dcterms:created>
  <dcterms:modified xsi:type="dcterms:W3CDTF">2012-11-26T00:59:00Z</dcterms:modified>
</cp:coreProperties>
</file>