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52" w:rsidRPr="00AE2C42" w:rsidRDefault="00C06252" w:rsidP="00AE2C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06252" w:rsidRPr="00AE2C42" w:rsidRDefault="00C06252" w:rsidP="00AE2C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06252" w:rsidRPr="00AE2C42" w:rsidRDefault="00F23CBE" w:rsidP="00AE2C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E2C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«Нетрадиционные формы обучения английскому языку  учащихся в начальной школе как способ достижения эффективной познавательной деятельности»</w:t>
      </w:r>
    </w:p>
    <w:p w:rsidR="00AE2C42" w:rsidRPr="00AE2C42" w:rsidRDefault="00AE2C42" w:rsidP="00AE2C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2C42">
        <w:rPr>
          <w:rFonts w:ascii="Times New Roman" w:eastAsia="Calibri" w:hAnsi="Times New Roman" w:cs="Times New Roman"/>
          <w:b/>
          <w:sz w:val="24"/>
          <w:szCs w:val="24"/>
        </w:rPr>
        <w:t>Алтынаманова Даяна Радиковна</w:t>
      </w:r>
    </w:p>
    <w:p w:rsidR="00AE2C42" w:rsidRPr="00AE2C42" w:rsidRDefault="00AE2C42" w:rsidP="00AE2C4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E2C42">
        <w:rPr>
          <w:rFonts w:ascii="Times New Roman" w:eastAsia="Calibri" w:hAnsi="Times New Roman" w:cs="Times New Roman"/>
          <w:i/>
          <w:sz w:val="24"/>
          <w:szCs w:val="24"/>
        </w:rPr>
        <w:t>Студентка I курса направления подготовки Педагогическое образование</w:t>
      </w:r>
    </w:p>
    <w:p w:rsidR="00AE2C42" w:rsidRPr="00AE2C42" w:rsidRDefault="00AE2C42" w:rsidP="00AE2C4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E2C42">
        <w:rPr>
          <w:rFonts w:ascii="Times New Roman" w:eastAsia="Calibri" w:hAnsi="Times New Roman" w:cs="Times New Roman"/>
          <w:i/>
          <w:sz w:val="24"/>
          <w:szCs w:val="24"/>
        </w:rPr>
        <w:t>профиль «Начальное образование»</w:t>
      </w:r>
    </w:p>
    <w:p w:rsidR="008F3908" w:rsidRPr="00AE2C42" w:rsidRDefault="00AE2C42" w:rsidP="00AE2C4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Научный руководитель</w:t>
      </w:r>
      <w:r w:rsidR="00C06252" w:rsidRPr="00AE2C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C06252" w:rsidRPr="00AE2C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F3908" w:rsidRPr="00AE2C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доцент Т.Н.Лисицына</w:t>
      </w:r>
    </w:p>
    <w:p w:rsidR="00AE2C42" w:rsidRPr="00AE2C42" w:rsidRDefault="00AE2C42" w:rsidP="00AE2C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Уроки в школе – это значительная часть жизни школьников, требующая элементарного комфорта, благоприятного общения. Но эффективность учебного процесса зависит не только от способностей учеников, наличия целенаправленной мотивации учителя, от их прилежания, трудолюбия и обученности.  </w:t>
      </w:r>
    </w:p>
    <w:p w:rsidR="00AE2C42" w:rsidRPr="00AE2C42" w:rsidRDefault="00AE2C42" w:rsidP="00AE2C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Однообразие урока, когда на нём в течение нескольких лет повторяются в неизменном порядке: проверка домашнего задания, опрос, сообщение нового, его закрепление и снова – домашнее задание, постепенно вызывает у учеников скуку, притупляет их внимание.  </w:t>
      </w:r>
    </w:p>
    <w:p w:rsidR="00F20902" w:rsidRPr="00AE2C42" w:rsidRDefault="00476FDA" w:rsidP="00476F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8F3908" w:rsidRPr="00AE2C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 правило, все дети  с большим желанием идут в школу, им все интересно. Но проходит некоторый промежуток времени и этот интерес к учению постепенно угасает, некоторые ученики вообще не хотят учиться. А в изучении английского языка эта проблема только ярче проявляется, поскольку ребятам 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F3908" w:rsidRPr="00AE2C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прилагать больше усилий.</w:t>
      </w:r>
    </w:p>
    <w:p w:rsidR="008F3908" w:rsidRPr="00AE2C42" w:rsidRDefault="008F3908" w:rsidP="00476F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Особую актуальность эта проблема приобретает в 1- 4 классах. Учеба- труд, и труд не легкий. Ребенок с малых лет должен понимать, что все достигается трудом и что трудиться не просто.</w:t>
      </w:r>
    </w:p>
    <w:p w:rsidR="008F3908" w:rsidRPr="00AE2C42" w:rsidRDefault="008F3908" w:rsidP="00476F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этом учитель должен сделать так, чтобы не легкий учебный труд приносил школьнику удовлетворение, радость, возбуждал желание вновь и вновь познавать новое.</w:t>
      </w:r>
      <w:r w:rsidR="00476F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любопытны. Внимание падает, когда обучаемым преподносятся известные им умения. Если учебный процесс содержит мало или почти не содержит новых действий, то быстро достигается состояние « насыщения »: учащиеся отвлекаются от того, что происходит на занятиях, проявляют так называемое двигательное беспокойство. Поэтому педагогам следует постоянно помнить об </w:t>
      </w:r>
    </w:p>
    <w:p w:rsidR="00AE2C42" w:rsidRDefault="008F3908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«эффекте любопытства».</w:t>
      </w:r>
    </w:p>
    <w:p w:rsidR="008F3908" w:rsidRPr="00AE2C42" w:rsidRDefault="008F3908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76F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AE2C42"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Общим психологическим правилом выработки интереса будет следующее: для того чтобы предмет нас заинтересовал, он должен быть связан с чем-либо интересующим нас, с чем-либо уже знакомым, и вместе с тем он должен всегда заключать в себя некоторые новые формы деятельности, иначе он останется безрезультатным»</w:t>
      </w:r>
      <w:r w:rsidR="00AE2C42" w:rsidRPr="00AE2C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="00476F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AE2C42"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 С. Выгодский.</w:t>
      </w:r>
      <w:r w:rsidR="00476FDA"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476FDA" w:rsidRPr="00AE2C42" w:rsidRDefault="00476FDA" w:rsidP="00476FD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избежать этого, создав оптимальные условия учащимся в соответствии с их возможностями обучения.</w:t>
      </w:r>
    </w:p>
    <w:p w:rsidR="00476FDA" w:rsidRPr="00AE2C42" w:rsidRDefault="00476FDA" w:rsidP="00476F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Такие условия достигаются определённым соотношением на уроке форм учебной работы. Не высказываясь на уроке, учащиеся хуже усваивают изучаемый материал, развивается неуверенность в своих силах. Я стараюсь ставить их в позицию говорящих, делающих. В процессе общения личность развивается, обогащается нравственными ценностями.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Применяя в своей практике нетрадиционные формы ведения уроков, сделала вывод, что именно такие уроки повышают эффективность обучения, предполагают творческий подход со стороны учителя и ученика.  </w:t>
      </w:r>
    </w:p>
    <w:p w:rsidR="00476FDA" w:rsidRPr="00AE2C42" w:rsidRDefault="00476FDA" w:rsidP="00476F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нетрадиционным урокам можно отнести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урок-игру, </w:t>
      </w: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урок-викторину, урок - поиск, урок - экскурсию, урок - конференцию, интегрированный урок, урок-сказку, урок-спектакль, урок-игру, урок-соревнование, урок-суд, урок-экзамен, урок-тестирование, урок-рассказ, урок-праздник, урок-путешествие, урок-аукцион, урок-смотр, урок-устный журнал, урок-КВН, урок-отчет и т. д.  </w:t>
      </w:r>
    </w:p>
    <w:p w:rsidR="008F3908" w:rsidRDefault="00476FDA" w:rsidP="00476FD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этого</w:t>
      </w:r>
      <w:r w:rsidR="00C0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предположить, что н</w:t>
      </w:r>
      <w:r w:rsidR="008F3908"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естандартные</w:t>
      </w:r>
      <w:r w:rsidR="008F3908"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формы повышают эффективность урока и способствуют поддержанию </w:t>
      </w:r>
      <w:r w:rsidR="00837C03"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8F3908"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табильного интереса к изучению английского языка. </w:t>
      </w:r>
    </w:p>
    <w:p w:rsidR="008F3908" w:rsidRPr="00AE2C42" w:rsidRDefault="00476FDA" w:rsidP="00476FD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Решив провести исследование, чтобы подтвердить </w:t>
      </w:r>
      <w:r w:rsidR="00C0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моё</w:t>
      </w:r>
      <w:r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предположение</w:t>
      </w:r>
      <w:r w:rsidR="00C0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выбрал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="008F3908"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бъектом исследования </w:t>
      </w:r>
      <w:r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</w:t>
      </w:r>
      <w:r w:rsidR="008F3908"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 нетрадиционного обучения</w:t>
      </w:r>
      <w:r w:rsidR="008F3908"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начальной школе</w:t>
      </w:r>
      <w:r w:rsidR="008F3908" w:rsidRPr="00AE2C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F3908"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</w:t>
      </w:r>
      <w:r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8F3908"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исследования </w:t>
      </w:r>
      <w:r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послужили</w:t>
      </w:r>
      <w:r w:rsidR="008F3908"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нестандартные формы занятий на начальном этапе обуч</w:t>
      </w:r>
      <w:r w:rsidR="008F3908"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ения</w:t>
      </w:r>
    </w:p>
    <w:p w:rsidR="008F3908" w:rsidRPr="00476FDA" w:rsidRDefault="008F3908" w:rsidP="00476FD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</w:t>
      </w:r>
      <w:r w:rsidR="00476FDA"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 </w:t>
      </w:r>
      <w:r w:rsid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</w:t>
      </w:r>
      <w:r w:rsidR="00476FDA"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 работы была р</w:t>
      </w:r>
      <w:r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азработка системы нетрадиционных форм обучения учащихся английскому языку в начальной школе.</w:t>
      </w:r>
      <w:r w:rsid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достижения данной цели были определены задачи:</w:t>
      </w:r>
    </w:p>
    <w:p w:rsidR="008F3908" w:rsidRPr="00AE2C42" w:rsidRDefault="008F3908" w:rsidP="00AE2C42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Проанализир</w:t>
      </w:r>
      <w:r w:rsidR="00C0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овать литературу по данной теме;</w:t>
      </w:r>
    </w:p>
    <w:p w:rsidR="008F3908" w:rsidRPr="00AE2C42" w:rsidRDefault="008F3908" w:rsidP="00AE2C42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виды нестандартных форм обучения английскому языку, используемых</w:t>
      </w:r>
      <w:r w:rsidR="00C0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обучении  младших школьников;</w:t>
      </w:r>
    </w:p>
    <w:p w:rsidR="008F3908" w:rsidRPr="00AE2C42" w:rsidRDefault="008F3908" w:rsidP="00AE2C42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значение использования нетрадиционных форм работы на начальном э</w:t>
      </w:r>
      <w:r w:rsidR="00C0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тапе обучения английскому языку;</w:t>
      </w:r>
    </w:p>
    <w:p w:rsidR="00D34AA9" w:rsidRDefault="00476FDA" w:rsidP="00C0455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 разработан план реализации исследования:</w:t>
      </w:r>
    </w:p>
    <w:p w:rsidR="00476FDA" w:rsidRPr="00476FDA" w:rsidRDefault="00476FDA" w:rsidP="00476FDA">
      <w:pPr>
        <w:pStyle w:val="a3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Подготовительный - проведение опроса среди учащихся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</w:t>
      </w:r>
      <w:r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еседа с директором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онсультация с учителем английского языка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</w:t>
      </w:r>
      <w:r w:rsidRPr="00476F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оставление  обучающего курса</w:t>
      </w:r>
      <w:r w:rsidR="00C0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76FDA" w:rsidRPr="00476FDA" w:rsidRDefault="00C0455C" w:rsidP="00C0455C">
      <w:pPr>
        <w:pStyle w:val="a3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реализация обучающей системы;</w:t>
      </w:r>
    </w:p>
    <w:p w:rsidR="00C0455C" w:rsidRPr="00C0455C" w:rsidRDefault="00C0455C" w:rsidP="00C0455C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r w:rsidRPr="00C0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тап подведения итогов и рефлексия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</w:t>
      </w:r>
      <w:r w:rsidRPr="00C0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роведение анкетирования для проверки усвоенных знаний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C5D43" w:rsidRPr="00AE2C42" w:rsidRDefault="00C0455C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течении двух месяцев была проведена работа по данному исследованию.</w:t>
      </w:r>
    </w:p>
    <w:p w:rsidR="00777D9F" w:rsidRPr="00AE2C42" w:rsidRDefault="00AC5D43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0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и механизм реализации</w:t>
      </w:r>
      <w:r w:rsidR="00C045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917156" w:rsidRPr="00AE2C42" w:rsidRDefault="0093227A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917156" w:rsidRPr="00AE2C4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1 стадия. </w:t>
      </w:r>
    </w:p>
    <w:p w:rsidR="00745137" w:rsidRPr="00AE2C42" w:rsidRDefault="008469D2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745137"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чего же мы начали? В процессе реализации данной темы  вели работу по выявлению мотивации у учащихся начальных классов к изучению английского языка. Провели опрос детей </w:t>
      </w:r>
    </w:p>
    <w:p w:rsidR="0080481E" w:rsidRPr="00AE2C42" w:rsidRDefault="00745137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«Нравится ли вам учить английский язык?»</w:t>
      </w:r>
    </w:p>
    <w:p w:rsidR="00745137" w:rsidRPr="00AE2C42" w:rsidRDefault="00745137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опросе участвовали 25 человек в возрасте от 8 до 9 лет.</w:t>
      </w:r>
    </w:p>
    <w:p w:rsidR="00745137" w:rsidRPr="00AE2C42" w:rsidRDefault="00745137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вопрос «Нравится ли вам учить английский язык?», «Да» ответили 80%, 20% ответили – «Нет», на второй вопрос «Интересно ли вам на роках английского языка?» «Да» ответили 45%, «Нет» – 55%, на вопрос «Хотели бы вы чтобы на уроках с вами играли?» « Да» ответили все.</w:t>
      </w:r>
    </w:p>
    <w:p w:rsidR="00745137" w:rsidRPr="00AE2C42" w:rsidRDefault="00745137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6653C74" wp14:editId="14CCFF84">
            <wp:extent cx="6152515" cy="2644140"/>
            <wp:effectExtent l="0" t="0" r="19685" b="2286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69D2" w:rsidRPr="00AE2C42" w:rsidRDefault="0080481E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8469D2" w:rsidRPr="00AE2C4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2 стадия </w:t>
      </w:r>
    </w:p>
    <w:p w:rsidR="00745137" w:rsidRPr="00AE2C42" w:rsidRDefault="00745137" w:rsidP="00AE2C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была получена информация и помощь по составлению системы нетрадиционных форм обучения английскому языку учащихся начальных классов у учителя английского языка Шелковской Леси Ивановны.</w:t>
      </w:r>
    </w:p>
    <w:p w:rsidR="00962AD3" w:rsidRPr="00AE2C42" w:rsidRDefault="00745137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62AD3"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962AD3" w:rsidRPr="00AE2C4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 стадия</w:t>
      </w:r>
    </w:p>
    <w:p w:rsidR="00962AD3" w:rsidRPr="00AE2C42" w:rsidRDefault="00962AD3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745137"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разработанной системы нетрадиционных форм обучения  был составлен план её реализации, в котором за каждый этап проекта распределены ответственные.</w:t>
      </w:r>
    </w:p>
    <w:p w:rsidR="0093227A" w:rsidRPr="00AE2C42" w:rsidRDefault="00962AD3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93227A" w:rsidRPr="00AE2C4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4 стадия</w:t>
      </w:r>
    </w:p>
    <w:p w:rsidR="00745137" w:rsidRPr="00AE2C42" w:rsidRDefault="0093227A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</w:t>
      </w:r>
      <w:r w:rsidR="00745137"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того, как </w:t>
      </w:r>
      <w:r w:rsidR="00C0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745137"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убедил</w:t>
      </w:r>
      <w:r w:rsidR="00C0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745137"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сь в существовании данной проблемы и </w:t>
      </w:r>
      <w:r w:rsidR="00C0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была </w:t>
      </w:r>
      <w:r w:rsidR="00745137"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</w:t>
      </w:r>
      <w:r w:rsidR="00C0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лена</w:t>
      </w:r>
      <w:r w:rsidR="00745137"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</w:t>
      </w:r>
      <w:r w:rsidR="00C045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нетрадиционных форм обучения. Я</w:t>
      </w:r>
      <w:r w:rsidR="00745137"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обратились к директору школы Меркушевой Татьяне Владимировне за разрешением провести несколько занятий с учащимися 3 Б класса.</w:t>
      </w:r>
    </w:p>
    <w:p w:rsidR="00745137" w:rsidRPr="00AE2C42" w:rsidRDefault="00745137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F23CBE"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 стадия</w:t>
      </w:r>
    </w:p>
    <w:p w:rsidR="00745137" w:rsidRPr="00AE2C42" w:rsidRDefault="00745137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ребятами были проведены три занятия в нетрадиционной </w:t>
      </w:r>
      <w:r w:rsidR="0085572F"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форме: грамматические игры, лексические игры и  речевые игры.</w:t>
      </w:r>
    </w:p>
    <w:p w:rsidR="00745137" w:rsidRPr="00AE2C42" w:rsidRDefault="00745137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F23CBE"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6 занятие</w:t>
      </w:r>
    </w:p>
    <w:p w:rsidR="00745137" w:rsidRPr="00AE2C42" w:rsidRDefault="00745137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проведённых занятий был проведен опрос. В нём участвовали 23 человека в возрасте от 8 до 9 лет. На вопрос  «Интересно ли вам было на занятиях английского языка?» «Да» ответили 100%, «Нет» – 0%, на вопрос «Хотели бы вы дальше так же в игровой форме изучать английский язык?» « Да» ответили все.</w:t>
      </w:r>
    </w:p>
    <w:p w:rsidR="00745137" w:rsidRPr="00AE2C42" w:rsidRDefault="00745137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7732879" wp14:editId="37E4624E">
            <wp:extent cx="6152515" cy="2644140"/>
            <wp:effectExtent l="0" t="0" r="19685" b="2286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5137" w:rsidRPr="00AE2C42" w:rsidRDefault="00745137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5137" w:rsidRPr="00AE2C42" w:rsidRDefault="00745137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анкетирования показали</w:t>
      </w:r>
      <w:r w:rsidR="00F23CBE"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чему за эти три занятия дети научились</w:t>
      </w:r>
    </w:p>
    <w:p w:rsidR="00F23CBE" w:rsidRPr="00AE2C42" w:rsidRDefault="00F23CBE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137" w:rsidRPr="00AE2C42" w:rsidRDefault="00745137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9C1497" wp14:editId="31CEBEEC">
            <wp:extent cx="6152515" cy="3520440"/>
            <wp:effectExtent l="0" t="0" r="19685" b="2286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3CBE" w:rsidRPr="00AE2C42" w:rsidRDefault="00F23CBE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5137" w:rsidRPr="00AE2C42" w:rsidRDefault="00C0455C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</w:t>
      </w:r>
      <w:r w:rsidR="00745137"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азработанная система нетрадиционных форм обучения английскому языку в начальной школе </w:t>
      </w:r>
      <w:r w:rsidR="00F23CBE"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дала</w:t>
      </w:r>
      <w:r w:rsidR="00745137"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результаты. Нетрадиционные формы проведения уроков дали возможность не только поднять интерес учащихся к изучаемому предмету, но и развить их </w:t>
      </w:r>
      <w:r w:rsidR="00745137"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творческую самостоятельность.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45137"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45137"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выводу, что такие формы проведения занятий "снимают" традиционность урока, оживляют мысль.</w:t>
      </w:r>
    </w:p>
    <w:p w:rsidR="00C03EF1" w:rsidRPr="00C0455C" w:rsidRDefault="00C0455C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моего</w:t>
      </w:r>
      <w:r w:rsidRPr="00C04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являются следующие р</w:t>
      </w:r>
      <w:r w:rsidR="00C03EF1" w:rsidRPr="00C04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D48E1" w:rsidRPr="00AE2C42" w:rsidRDefault="00FD48E1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Качественные результаты проекта:</w:t>
      </w:r>
    </w:p>
    <w:p w:rsidR="00745137" w:rsidRPr="00AE2C42" w:rsidRDefault="00745137" w:rsidP="00AE2C42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анкетирования до и после занятий с целью получения качественных и          количественных результатов по проведению нестандартных форм обучения;</w:t>
      </w:r>
    </w:p>
    <w:p w:rsidR="00745137" w:rsidRPr="00AE2C42" w:rsidRDefault="00745137" w:rsidP="00AE2C42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барьеров в общении с детьми;</w:t>
      </w:r>
    </w:p>
    <w:p w:rsidR="00745137" w:rsidRPr="00AE2C42" w:rsidRDefault="00745137" w:rsidP="00AE2C42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интерес у ребят к таким занятиям;</w:t>
      </w:r>
    </w:p>
    <w:p w:rsidR="00745137" w:rsidRPr="00AE2C42" w:rsidRDefault="00745137" w:rsidP="00AE2C42">
      <w:pPr>
        <w:pStyle w:val="a3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Благодарственное письмо от школы;</w:t>
      </w:r>
    </w:p>
    <w:p w:rsidR="00FD48E1" w:rsidRPr="00AE2C42" w:rsidRDefault="00FD48E1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Количественные результаты:</w:t>
      </w:r>
    </w:p>
    <w:p w:rsidR="00745137" w:rsidRPr="00AE2C42" w:rsidRDefault="00745137" w:rsidP="00AE2C42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разработана и апробирована система нестандартных форм обучения учащихся         начальной школы английскому языку;</w:t>
      </w:r>
    </w:p>
    <w:p w:rsidR="00745137" w:rsidRPr="00AE2C42" w:rsidRDefault="00745137" w:rsidP="00AE2C42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Составлены и проведены опрос и анкета;</w:t>
      </w:r>
    </w:p>
    <w:p w:rsidR="00745137" w:rsidRPr="00AE2C42" w:rsidRDefault="00745137" w:rsidP="00AE2C42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подготовлено 3 презентации к занятиям;</w:t>
      </w:r>
    </w:p>
    <w:p w:rsidR="00745137" w:rsidRPr="00AE2C42" w:rsidRDefault="00745137" w:rsidP="00AE2C42">
      <w:pPr>
        <w:pStyle w:val="a3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Привлечено было 25 учащихся 3 «Б» класса;</w:t>
      </w:r>
    </w:p>
    <w:p w:rsidR="009362BD" w:rsidRPr="00AE2C42" w:rsidRDefault="009362BD" w:rsidP="00C0455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ис</w:t>
      </w:r>
      <w:r w:rsidR="00210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точников</w:t>
      </w:r>
      <w:bookmarkStart w:id="0" w:name="_GoBack"/>
      <w:bookmarkEnd w:id="0"/>
    </w:p>
    <w:p w:rsidR="004F5DBD" w:rsidRPr="00AE2C42" w:rsidRDefault="004F5DBD" w:rsidP="00AE2C42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государственные стандарты по иностранному языку : 2-11 классы : Образование в документах и комментариях.– М. : АСТ ; Астрель, 2008. - С.93</w:t>
      </w:r>
    </w:p>
    <w:p w:rsidR="004F5DBD" w:rsidRPr="00AE2C42" w:rsidRDefault="004F5DBD" w:rsidP="00AE2C42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Сафонова, В. В. Коммуникативная компетенция: современные подходы к многоуровневому описанию в методических целях. В. В. Сафонова. – М., 2004.</w:t>
      </w:r>
    </w:p>
    <w:p w:rsidR="004F5DBD" w:rsidRPr="00AE2C42" w:rsidRDefault="004F5DBD" w:rsidP="00AE2C42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язык: компетентностный подход в преподавании: технологии : разработки уроков / авт. - сост. А. Г. Штарина. – Волгоград : Учитель, 2008.</w:t>
      </w:r>
    </w:p>
    <w:p w:rsidR="004F5DBD" w:rsidRPr="00AE2C42" w:rsidRDefault="004F5DBD" w:rsidP="00AE2C42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Пассов Е. И. " Основы методики обучения иностранным языкам". М., 1977</w:t>
      </w:r>
    </w:p>
    <w:p w:rsidR="004F5DBD" w:rsidRPr="00AE2C42" w:rsidRDefault="004F5DBD" w:rsidP="00AE2C42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Пассов Е. И. " Основы коммуникативной методики обучения иноязычному общению". М.,1989</w:t>
      </w:r>
    </w:p>
    <w:p w:rsidR="00210845" w:rsidRPr="00210845" w:rsidRDefault="004F5DBD" w:rsidP="00210845">
      <w:pPr>
        <w:pStyle w:val="a3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 А. В., Китайгородская Г. А. " К некоторым вопросам активизации учебной деятельности": - В кн. : Методы интенсивного обуче</w:t>
      </w:r>
      <w:r w:rsidR="00210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иностр. яз.,вып. 5, М., 19</w:t>
      </w:r>
    </w:p>
    <w:p w:rsidR="00210845" w:rsidRPr="00210845" w:rsidRDefault="00210845" w:rsidP="00210845">
      <w:pPr>
        <w:pStyle w:val="a3"/>
        <w:numPr>
          <w:ilvl w:val="0"/>
          <w:numId w:val="16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10" w:tgtFrame="_blank" w:history="1">
        <w:r w:rsidRPr="00210845">
          <w:rPr>
            <w:rFonts w:ascii="Times New Roman" w:eastAsia="Times New Roman" w:hAnsi="Times New Roman" w:cs="Times New Roman"/>
            <w:color w:val="3083AE"/>
            <w:sz w:val="24"/>
            <w:szCs w:val="24"/>
            <w:u w:val="single"/>
            <w:lang w:val="en-US" w:eastAsia="ru-RU"/>
          </w:rPr>
          <w:t>domashke.com/referati/referaty-po-pedagogike/kurso...o-shkolnogo-vozrasta</w:t>
        </w:r>
      </w:hyperlink>
    </w:p>
    <w:p w:rsidR="00210845" w:rsidRPr="00210845" w:rsidRDefault="00210845" w:rsidP="00210845">
      <w:pPr>
        <w:pStyle w:val="a3"/>
        <w:numPr>
          <w:ilvl w:val="0"/>
          <w:numId w:val="16"/>
        </w:numPr>
        <w:shd w:val="clear" w:color="auto" w:fill="F9F9F9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Pr="00210845">
          <w:rPr>
            <w:rFonts w:ascii="Times New Roman" w:eastAsia="Times New Roman" w:hAnsi="Times New Roman" w:cs="Times New Roman"/>
            <w:color w:val="3083AE"/>
            <w:sz w:val="24"/>
            <w:szCs w:val="24"/>
            <w:u w:val="single"/>
            <w:lang w:eastAsia="ru-RU"/>
          </w:rPr>
          <w:t>www.BestReferat.ru/referat-223317.html</w:t>
        </w:r>
      </w:hyperlink>
    </w:p>
    <w:p w:rsidR="00210845" w:rsidRPr="00210845" w:rsidRDefault="00210845" w:rsidP="00210845">
      <w:pPr>
        <w:pStyle w:val="a3"/>
        <w:numPr>
          <w:ilvl w:val="0"/>
          <w:numId w:val="16"/>
        </w:numPr>
        <w:shd w:val="clear" w:color="auto" w:fill="F9F9F9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Pr="00210845">
          <w:rPr>
            <w:rFonts w:ascii="Times New Roman" w:eastAsia="Times New Roman" w:hAnsi="Times New Roman" w:cs="Times New Roman"/>
            <w:color w:val="3083AE"/>
            <w:sz w:val="24"/>
            <w:szCs w:val="24"/>
            <w:u w:val="single"/>
            <w:lang w:eastAsia="ru-RU"/>
          </w:rPr>
          <w:t>www.BestReferat.ru/referat-136315.html</w:t>
        </w:r>
      </w:hyperlink>
    </w:p>
    <w:p w:rsidR="00210845" w:rsidRPr="00210845" w:rsidRDefault="00210845" w:rsidP="00210845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13" w:tgtFrame="_blank" w:history="1">
        <w:r w:rsidRPr="00210845">
          <w:rPr>
            <w:rFonts w:ascii="Times New Roman" w:eastAsia="Times New Roman" w:hAnsi="Times New Roman" w:cs="Times New Roman"/>
            <w:color w:val="3083AE"/>
            <w:sz w:val="24"/>
            <w:szCs w:val="24"/>
            <w:u w:val="single"/>
            <w:lang w:val="en-US" w:eastAsia="ru-RU"/>
          </w:rPr>
          <w:t>lib-5.ru/sheet-r-60890.php</w:t>
        </w:r>
      </w:hyperlink>
    </w:p>
    <w:p w:rsidR="00210845" w:rsidRPr="00210845" w:rsidRDefault="00210845" w:rsidP="00210845">
      <w:pPr>
        <w:pStyle w:val="a3"/>
        <w:numPr>
          <w:ilvl w:val="0"/>
          <w:numId w:val="16"/>
        </w:numPr>
        <w:shd w:val="clear" w:color="auto" w:fill="F9F9F9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tgtFrame="_blank" w:history="1">
        <w:r w:rsidRPr="00210845">
          <w:rPr>
            <w:rFonts w:ascii="Times New Roman" w:eastAsia="Times New Roman" w:hAnsi="Times New Roman" w:cs="Times New Roman"/>
            <w:color w:val="3083AE"/>
            <w:sz w:val="24"/>
            <w:szCs w:val="24"/>
            <w:u w:val="single"/>
            <w:lang w:eastAsia="ru-RU"/>
          </w:rPr>
          <w:t>www.KazEdu.kz/referat/127313</w:t>
        </w:r>
      </w:hyperlink>
    </w:p>
    <w:p w:rsidR="00210845" w:rsidRPr="00210845" w:rsidRDefault="00210845" w:rsidP="00210845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518" w:rsidRPr="00210845" w:rsidRDefault="00301518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518" w:rsidRPr="00210845" w:rsidRDefault="00301518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518" w:rsidRPr="00210845" w:rsidRDefault="00301518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5DBD" w:rsidRPr="00AE2C42" w:rsidRDefault="004F5DBD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5DBD" w:rsidRPr="00AE2C42" w:rsidRDefault="004F5DBD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5DBD" w:rsidRPr="00AE2C42" w:rsidRDefault="004F5DBD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5DBD" w:rsidRPr="00AE2C42" w:rsidRDefault="004F5DBD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518" w:rsidRPr="00AE2C42" w:rsidRDefault="00301518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518" w:rsidRPr="00AE2C42" w:rsidRDefault="00301518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518" w:rsidRPr="00AE2C42" w:rsidRDefault="00301518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518" w:rsidRPr="00AE2C42" w:rsidRDefault="00301518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518" w:rsidRPr="00AE2C42" w:rsidRDefault="00301518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518" w:rsidRPr="00AE2C42" w:rsidRDefault="00301518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3CBE" w:rsidRPr="00AE2C42" w:rsidRDefault="00F23CBE" w:rsidP="00AE2C4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23CBE" w:rsidRPr="00AE2C42" w:rsidSect="00EF394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4AA"/>
    <w:multiLevelType w:val="hybridMultilevel"/>
    <w:tmpl w:val="06261F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B21419"/>
    <w:multiLevelType w:val="multilevel"/>
    <w:tmpl w:val="8FB0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93328"/>
    <w:multiLevelType w:val="hybridMultilevel"/>
    <w:tmpl w:val="65F61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4201C"/>
    <w:multiLevelType w:val="multilevel"/>
    <w:tmpl w:val="287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A47A5"/>
    <w:multiLevelType w:val="hybridMultilevel"/>
    <w:tmpl w:val="C1AA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23F30"/>
    <w:multiLevelType w:val="hybridMultilevel"/>
    <w:tmpl w:val="B4FA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6432E"/>
    <w:multiLevelType w:val="hybridMultilevel"/>
    <w:tmpl w:val="4DF6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76A82"/>
    <w:multiLevelType w:val="hybridMultilevel"/>
    <w:tmpl w:val="8578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17176"/>
    <w:multiLevelType w:val="hybridMultilevel"/>
    <w:tmpl w:val="221A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179AA"/>
    <w:multiLevelType w:val="multilevel"/>
    <w:tmpl w:val="9F72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432839"/>
    <w:multiLevelType w:val="multilevel"/>
    <w:tmpl w:val="8D54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F6C70"/>
    <w:multiLevelType w:val="hybridMultilevel"/>
    <w:tmpl w:val="82BE1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333D26"/>
    <w:multiLevelType w:val="multilevel"/>
    <w:tmpl w:val="35C6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40185"/>
    <w:multiLevelType w:val="hybridMultilevel"/>
    <w:tmpl w:val="E9FC1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17242"/>
    <w:multiLevelType w:val="multilevel"/>
    <w:tmpl w:val="2C10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B4B12"/>
    <w:multiLevelType w:val="hybridMultilevel"/>
    <w:tmpl w:val="E87C61C6"/>
    <w:lvl w:ilvl="0" w:tplc="2E3E757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6762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55C0E"/>
    <w:multiLevelType w:val="hybridMultilevel"/>
    <w:tmpl w:val="98022F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0B336F6"/>
    <w:multiLevelType w:val="hybridMultilevel"/>
    <w:tmpl w:val="A76E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4698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F1225"/>
    <w:multiLevelType w:val="hybridMultilevel"/>
    <w:tmpl w:val="9398A1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31A1C04"/>
    <w:multiLevelType w:val="hybridMultilevel"/>
    <w:tmpl w:val="D9CA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570C6"/>
    <w:multiLevelType w:val="hybridMultilevel"/>
    <w:tmpl w:val="7C58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B1BE5"/>
    <w:multiLevelType w:val="hybridMultilevel"/>
    <w:tmpl w:val="A284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12DE5"/>
    <w:multiLevelType w:val="hybridMultilevel"/>
    <w:tmpl w:val="E836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D66CE"/>
    <w:multiLevelType w:val="hybridMultilevel"/>
    <w:tmpl w:val="49A0E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20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21"/>
  </w:num>
  <w:num w:numId="11">
    <w:abstractNumId w:val="8"/>
  </w:num>
  <w:num w:numId="12">
    <w:abstractNumId w:val="19"/>
  </w:num>
  <w:num w:numId="13">
    <w:abstractNumId w:val="17"/>
  </w:num>
  <w:num w:numId="14">
    <w:abstractNumId w:val="18"/>
  </w:num>
  <w:num w:numId="15">
    <w:abstractNumId w:val="16"/>
  </w:num>
  <w:num w:numId="16">
    <w:abstractNumId w:val="2"/>
  </w:num>
  <w:num w:numId="17">
    <w:abstractNumId w:val="4"/>
  </w:num>
  <w:num w:numId="18">
    <w:abstractNumId w:val="23"/>
  </w:num>
  <w:num w:numId="19">
    <w:abstractNumId w:val="6"/>
  </w:num>
  <w:num w:numId="20">
    <w:abstractNumId w:val="15"/>
  </w:num>
  <w:num w:numId="21">
    <w:abstractNumId w:val="13"/>
  </w:num>
  <w:num w:numId="22">
    <w:abstractNumId w:val="11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F9"/>
    <w:rsid w:val="000277CA"/>
    <w:rsid w:val="00056F42"/>
    <w:rsid w:val="000B4B27"/>
    <w:rsid w:val="000E5759"/>
    <w:rsid w:val="0010121C"/>
    <w:rsid w:val="00116DAF"/>
    <w:rsid w:val="0019157B"/>
    <w:rsid w:val="001D2E30"/>
    <w:rsid w:val="00210845"/>
    <w:rsid w:val="00247A28"/>
    <w:rsid w:val="002504D8"/>
    <w:rsid w:val="00292167"/>
    <w:rsid w:val="00301518"/>
    <w:rsid w:val="00364B8B"/>
    <w:rsid w:val="0039791C"/>
    <w:rsid w:val="00476FDA"/>
    <w:rsid w:val="004F5DBD"/>
    <w:rsid w:val="00604386"/>
    <w:rsid w:val="006E4321"/>
    <w:rsid w:val="00745137"/>
    <w:rsid w:val="00777D9F"/>
    <w:rsid w:val="007A6BE2"/>
    <w:rsid w:val="0080481E"/>
    <w:rsid w:val="00807C90"/>
    <w:rsid w:val="00820B4E"/>
    <w:rsid w:val="00837C03"/>
    <w:rsid w:val="008469D2"/>
    <w:rsid w:val="0085572F"/>
    <w:rsid w:val="008C7AA8"/>
    <w:rsid w:val="008F3908"/>
    <w:rsid w:val="00917156"/>
    <w:rsid w:val="0093227A"/>
    <w:rsid w:val="009362BD"/>
    <w:rsid w:val="00961A3E"/>
    <w:rsid w:val="00962AD3"/>
    <w:rsid w:val="00965E44"/>
    <w:rsid w:val="009923A3"/>
    <w:rsid w:val="009F69C8"/>
    <w:rsid w:val="00A06DD7"/>
    <w:rsid w:val="00A54CA2"/>
    <w:rsid w:val="00A647F0"/>
    <w:rsid w:val="00A74C15"/>
    <w:rsid w:val="00AC5D43"/>
    <w:rsid w:val="00AE2C42"/>
    <w:rsid w:val="00B00554"/>
    <w:rsid w:val="00B57350"/>
    <w:rsid w:val="00BB63F9"/>
    <w:rsid w:val="00C03EF1"/>
    <w:rsid w:val="00C0455C"/>
    <w:rsid w:val="00C06252"/>
    <w:rsid w:val="00C75F9F"/>
    <w:rsid w:val="00CE265E"/>
    <w:rsid w:val="00CF54C5"/>
    <w:rsid w:val="00D34AA9"/>
    <w:rsid w:val="00D51BA8"/>
    <w:rsid w:val="00DC0F9A"/>
    <w:rsid w:val="00DD48BF"/>
    <w:rsid w:val="00E770FD"/>
    <w:rsid w:val="00EF394D"/>
    <w:rsid w:val="00F20902"/>
    <w:rsid w:val="00F23CBE"/>
    <w:rsid w:val="00F512C2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2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5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10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2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5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10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7126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4710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8172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2323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34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707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4454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14364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6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43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348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998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text.ru/rd/aHR0cDovL2xpYi01LnJ1L3NoZWV0LXItNjA4OTAucGhw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://text.ru/rd/aHR0cDovL3d3dy5CZXN0UmVmZXJhdC5ydS9yZWZlcmF0LTEzNjMxNS5odG1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xt.ru/rd/aHR0cDovL3d3dy5CZXN0UmVmZXJhdC5ydS9yZWZlcmF0LTIyMzMxNy5odG1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ext.ru/rd/aHR0cHM6Ly9kb21hc2hrZS5jb20vcmVmZXJhdGkvcmVmZXJhdHktcG8tcGVkYWdvZ2lrZS9rdXJzb3ZheWEtcmFib3RhLW5ldHJhZGljaW9ubnllLWZvcm15LXVyb2tvdi1rYWstc3Bvc29iLXJhenZpdGl5YS1pbnRlcmVzYS1rLXVjaGViZS11LWRldGVqLW1sYWRzaGVnby1zaGtvbG5vZ28tdm96cmFzdGE%3D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hyperlink" Target="http://text.ru/rd/aHR0cDovL3d3dy5LYXpFZHUua3ovcmVmZXJhdC8xMjczMTM%3D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dk1" tx1="lt1" bg2="dk2" tx2="lt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6791633288309101E-2"/>
          <c:y val="6.9192157661494405E-2"/>
          <c:w val="0.8815489799379016"/>
          <c:h val="0.8206534150526484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нет</c:v>
                </c:pt>
                <c:pt idx="2">
                  <c:v>да</c:v>
                </c:pt>
                <c:pt idx="3">
                  <c:v>нет</c:v>
                </c:pt>
                <c:pt idx="4">
                  <c:v>да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</c:v>
                </c:pt>
                <c:pt idx="1">
                  <c:v>0.2</c:v>
                </c:pt>
                <c:pt idx="2">
                  <c:v>0.45</c:v>
                </c:pt>
                <c:pt idx="3">
                  <c:v>0.55000000000000004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нет</c:v>
                </c:pt>
                <c:pt idx="2">
                  <c:v>да</c:v>
                </c:pt>
                <c:pt idx="3">
                  <c:v>нет</c:v>
                </c:pt>
                <c:pt idx="4">
                  <c:v>да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нет</c:v>
                </c:pt>
                <c:pt idx="2">
                  <c:v>да</c:v>
                </c:pt>
                <c:pt idx="3">
                  <c:v>нет</c:v>
                </c:pt>
                <c:pt idx="4">
                  <c:v>да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435968"/>
        <c:axId val="52556544"/>
      </c:barChart>
      <c:catAx>
        <c:axId val="52435968"/>
        <c:scaling>
          <c:orientation val="minMax"/>
        </c:scaling>
        <c:delete val="0"/>
        <c:axPos val="b"/>
        <c:majorTickMark val="out"/>
        <c:minorTickMark val="none"/>
        <c:tickLblPos val="nextTo"/>
        <c:crossAx val="52556544"/>
        <c:crosses val="autoZero"/>
        <c:auto val="1"/>
        <c:lblAlgn val="ctr"/>
        <c:lblOffset val="100"/>
        <c:noMultiLvlLbl val="0"/>
      </c:catAx>
      <c:valAx>
        <c:axId val="525565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4359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dk1" tx1="lt1" bg2="dk2" tx2="lt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6791633288309101E-2"/>
          <c:y val="6.9192157661494405E-2"/>
          <c:w val="0.8815489799379016"/>
          <c:h val="0.8206534150526484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нет</c:v>
                </c:pt>
                <c:pt idx="2">
                  <c:v>да</c:v>
                </c:pt>
                <c:pt idx="3">
                  <c:v>нет</c:v>
                </c:pt>
                <c:pt idx="4">
                  <c:v>да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</c:v>
                </c:pt>
                <c:pt idx="1">
                  <c:v>0.2</c:v>
                </c:pt>
                <c:pt idx="2">
                  <c:v>0.45</c:v>
                </c:pt>
                <c:pt idx="3">
                  <c:v>0.55000000000000004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нет</c:v>
                </c:pt>
                <c:pt idx="2">
                  <c:v>да</c:v>
                </c:pt>
                <c:pt idx="3">
                  <c:v>нет</c:v>
                </c:pt>
                <c:pt idx="4">
                  <c:v>да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да</c:v>
                </c:pt>
                <c:pt idx="1">
                  <c:v>нет</c:v>
                </c:pt>
                <c:pt idx="2">
                  <c:v>да</c:v>
                </c:pt>
                <c:pt idx="3">
                  <c:v>нет</c:v>
                </c:pt>
                <c:pt idx="4">
                  <c:v>да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644032"/>
        <c:axId val="23645568"/>
      </c:barChart>
      <c:catAx>
        <c:axId val="23644032"/>
        <c:scaling>
          <c:orientation val="minMax"/>
        </c:scaling>
        <c:delete val="0"/>
        <c:axPos val="b"/>
        <c:majorTickMark val="out"/>
        <c:minorTickMark val="none"/>
        <c:tickLblPos val="nextTo"/>
        <c:crossAx val="23645568"/>
        <c:crosses val="autoZero"/>
        <c:auto val="1"/>
        <c:lblAlgn val="ctr"/>
        <c:lblOffset val="100"/>
        <c:noMultiLvlLbl val="0"/>
      </c:catAx>
      <c:valAx>
        <c:axId val="23645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6440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dk1" tx1="lt1" bg2="dk2" tx2="lt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окончания существительных</c:v>
                </c:pt>
                <c:pt idx="1">
                  <c:v>вспомнили темы</c:v>
                </c:pt>
                <c:pt idx="2">
                  <c:v>повторили слова</c:v>
                </c:pt>
                <c:pt idx="3">
                  <c:v>самостоят.разгад.кроссворд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0.85</c:v>
                </c:pt>
                <c:pt idx="1">
                  <c:v>0.78</c:v>
                </c:pt>
                <c:pt idx="2">
                  <c:v>0.85</c:v>
                </c:pt>
                <c:pt idx="3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окончания существительных</c:v>
                </c:pt>
                <c:pt idx="1">
                  <c:v>вспомнили темы</c:v>
                </c:pt>
                <c:pt idx="2">
                  <c:v>повторили слова</c:v>
                </c:pt>
                <c:pt idx="3">
                  <c:v>самостоят.разгад.кроссворд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окончания существительных</c:v>
                </c:pt>
                <c:pt idx="1">
                  <c:v>вспомнили темы</c:v>
                </c:pt>
                <c:pt idx="2">
                  <c:v>повторили слова</c:v>
                </c:pt>
                <c:pt idx="3">
                  <c:v>самостоят.разгад.кроссворд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4387072"/>
        <c:axId val="54388608"/>
      </c:barChart>
      <c:catAx>
        <c:axId val="54387072"/>
        <c:scaling>
          <c:orientation val="minMax"/>
        </c:scaling>
        <c:delete val="0"/>
        <c:axPos val="b"/>
        <c:majorTickMark val="out"/>
        <c:minorTickMark val="none"/>
        <c:tickLblPos val="nextTo"/>
        <c:crossAx val="54388608"/>
        <c:crosses val="autoZero"/>
        <c:auto val="1"/>
        <c:lblAlgn val="ctr"/>
        <c:lblOffset val="100"/>
        <c:noMultiLvlLbl val="0"/>
      </c:catAx>
      <c:valAx>
        <c:axId val="543886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4387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_rels/themeOverride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Апекс">
    <a:dk1>
      <a:sysClr val="windowText" lastClr="000000"/>
    </a:dk1>
    <a:lt1>
      <a:sysClr val="window" lastClr="FFFFFF"/>
    </a:lt1>
    <a:dk2>
      <a:srgbClr val="69676D"/>
    </a:dk2>
    <a:lt2>
      <a:srgbClr val="C9C2D1"/>
    </a:lt2>
    <a:accent1>
      <a:srgbClr val="CEB966"/>
    </a:accent1>
    <a:accent2>
      <a:srgbClr val="9CB084"/>
    </a:accent2>
    <a:accent3>
      <a:srgbClr val="6BB1C9"/>
    </a:accent3>
    <a:accent4>
      <a:srgbClr val="6585CF"/>
    </a:accent4>
    <a:accent5>
      <a:srgbClr val="7E6BC9"/>
    </a:accent5>
    <a:accent6>
      <a:srgbClr val="A379BB"/>
    </a:accent6>
    <a:hlink>
      <a:srgbClr val="410082"/>
    </a:hlink>
    <a:folHlink>
      <a:srgbClr val="932968"/>
    </a:folHlink>
  </a:clrScheme>
  <a:fontScheme name="Апекс">
    <a:majorFont>
      <a:latin typeface="Lucida Sans"/>
      <a:ea typeface=""/>
      <a:cs typeface=""/>
      <a:font script="Grek" typeface="Arial"/>
      <a:font script="Cyrl" typeface="Arial"/>
      <a:font script="Jpan" typeface="HG丸ｺﾞｼｯｸM-PRO"/>
      <a:font script="Hang" typeface="휴먼옛체"/>
      <a:font script="Hans" typeface="黑体"/>
      <a:font script="Hant" typeface="微軟正黑體"/>
      <a:font script="Arab" typeface="Tahoma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明朝B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Апекс">
    <a:fillStyleLst>
      <a:solidFill>
        <a:schemeClr val="phClr"/>
      </a:solidFill>
      <a:gradFill rotWithShape="1">
        <a:gsLst>
          <a:gs pos="20000">
            <a:schemeClr val="phClr">
              <a:tint val="9000"/>
            </a:schemeClr>
          </a:gs>
          <a:gs pos="100000">
            <a:schemeClr val="phClr">
              <a:tint val="70000"/>
              <a:satMod val="100000"/>
            </a:schemeClr>
          </a:gs>
        </a:gsLst>
        <a:path path="circle">
          <a:fillToRect l="-15000" t="-15000" r="115000" b="115000"/>
        </a:path>
      </a:gradFill>
      <a:gradFill rotWithShape="1">
        <a:gsLst>
          <a:gs pos="0">
            <a:schemeClr val="phClr">
              <a:shade val="60000"/>
            </a:schemeClr>
          </a:gs>
          <a:gs pos="33000">
            <a:schemeClr val="phClr">
              <a:tint val="86500"/>
            </a:schemeClr>
          </a:gs>
          <a:gs pos="46750">
            <a:schemeClr val="phClr">
              <a:tint val="71000"/>
              <a:satMod val="112000"/>
            </a:schemeClr>
          </a:gs>
          <a:gs pos="53000">
            <a:schemeClr val="phClr">
              <a:tint val="71000"/>
              <a:satMod val="112000"/>
            </a:schemeClr>
          </a:gs>
          <a:gs pos="68000">
            <a:schemeClr val="phClr">
              <a:tint val="86000"/>
            </a:schemeClr>
          </a:gs>
          <a:gs pos="100000">
            <a:schemeClr val="phClr">
              <a:shade val="60000"/>
            </a:schemeClr>
          </a:gs>
        </a:gsLst>
        <a:lin ang="8350000" scaled="1"/>
      </a:gradFill>
    </a:fillStyleLst>
    <a:lnStyleLst>
      <a:ln w="9525" cap="flat" cmpd="sng" algn="ctr">
        <a:solidFill>
          <a:schemeClr val="phClr">
            <a:shade val="48000"/>
            <a:satMod val="11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130000" dist="101600" dir="2700000" algn="tl" rotWithShape="0">
            <a:srgbClr val="000000">
              <a:alpha val="350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  <a:scene3d>
          <a:camera prst="orthographicFront" fov="0">
            <a:rot lat="0" lon="0" rev="0"/>
          </a:camera>
          <a:lightRig rig="soft" dir="tl">
            <a:rot lat="0" lon="0" rev="20100000"/>
          </a:lightRig>
        </a:scene3d>
        <a:sp3d>
          <a:bevelT w="50800" h="508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0000"/>
              <a:satMod val="180000"/>
            </a:schemeClr>
          </a:gs>
          <a:gs pos="100000">
            <a:schemeClr val="phClr">
              <a:shade val="45000"/>
              <a:satMod val="120000"/>
            </a:schemeClr>
          </a:gs>
        </a:gsLst>
        <a:path path="circle">
          <a:fillToRect r="100000" b="100000"/>
        </a:path>
      </a:gradFill>
      <a:blipFill>
        <a:blip xmlns:r="http://schemas.openxmlformats.org/officeDocument/2006/relationships" r:embed="rId1">
          <a:duotone>
            <a:schemeClr val="phClr">
              <a:shade val="3000"/>
              <a:satMod val="110000"/>
            </a:schemeClr>
            <a:schemeClr val="phClr">
              <a:tint val="60000"/>
              <a:satMod val="425000"/>
            </a:schemeClr>
          </a:duotone>
        </a:blip>
        <a:stretch>
          <a:fillRect/>
        </a:stretch>
      </a:blipFill>
    </a:bgFillStyleLst>
  </a:fmtScheme>
</a:themeOverride>
</file>

<file path=word/theme/themeOverride2.xml><?xml version="1.0" encoding="utf-8"?>
<a:themeOverride xmlns:a="http://schemas.openxmlformats.org/drawingml/2006/main">
  <a:clrScheme name="Апекс">
    <a:dk1>
      <a:sysClr val="windowText" lastClr="000000"/>
    </a:dk1>
    <a:lt1>
      <a:sysClr val="window" lastClr="FFFFFF"/>
    </a:lt1>
    <a:dk2>
      <a:srgbClr val="69676D"/>
    </a:dk2>
    <a:lt2>
      <a:srgbClr val="C9C2D1"/>
    </a:lt2>
    <a:accent1>
      <a:srgbClr val="CEB966"/>
    </a:accent1>
    <a:accent2>
      <a:srgbClr val="9CB084"/>
    </a:accent2>
    <a:accent3>
      <a:srgbClr val="6BB1C9"/>
    </a:accent3>
    <a:accent4>
      <a:srgbClr val="6585CF"/>
    </a:accent4>
    <a:accent5>
      <a:srgbClr val="7E6BC9"/>
    </a:accent5>
    <a:accent6>
      <a:srgbClr val="A379BB"/>
    </a:accent6>
    <a:hlink>
      <a:srgbClr val="410082"/>
    </a:hlink>
    <a:folHlink>
      <a:srgbClr val="932968"/>
    </a:folHlink>
  </a:clrScheme>
  <a:fontScheme name="Апекс">
    <a:majorFont>
      <a:latin typeface="Lucida Sans"/>
      <a:ea typeface=""/>
      <a:cs typeface=""/>
      <a:font script="Grek" typeface="Arial"/>
      <a:font script="Cyrl" typeface="Arial"/>
      <a:font script="Jpan" typeface="HG丸ｺﾞｼｯｸM-PRO"/>
      <a:font script="Hang" typeface="휴먼옛체"/>
      <a:font script="Hans" typeface="黑体"/>
      <a:font script="Hant" typeface="微軟正黑體"/>
      <a:font script="Arab" typeface="Tahoma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明朝B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Апекс">
    <a:fillStyleLst>
      <a:solidFill>
        <a:schemeClr val="phClr"/>
      </a:solidFill>
      <a:gradFill rotWithShape="1">
        <a:gsLst>
          <a:gs pos="20000">
            <a:schemeClr val="phClr">
              <a:tint val="9000"/>
            </a:schemeClr>
          </a:gs>
          <a:gs pos="100000">
            <a:schemeClr val="phClr">
              <a:tint val="70000"/>
              <a:satMod val="100000"/>
            </a:schemeClr>
          </a:gs>
        </a:gsLst>
        <a:path path="circle">
          <a:fillToRect l="-15000" t="-15000" r="115000" b="115000"/>
        </a:path>
      </a:gradFill>
      <a:gradFill rotWithShape="1">
        <a:gsLst>
          <a:gs pos="0">
            <a:schemeClr val="phClr">
              <a:shade val="60000"/>
            </a:schemeClr>
          </a:gs>
          <a:gs pos="33000">
            <a:schemeClr val="phClr">
              <a:tint val="86500"/>
            </a:schemeClr>
          </a:gs>
          <a:gs pos="46750">
            <a:schemeClr val="phClr">
              <a:tint val="71000"/>
              <a:satMod val="112000"/>
            </a:schemeClr>
          </a:gs>
          <a:gs pos="53000">
            <a:schemeClr val="phClr">
              <a:tint val="71000"/>
              <a:satMod val="112000"/>
            </a:schemeClr>
          </a:gs>
          <a:gs pos="68000">
            <a:schemeClr val="phClr">
              <a:tint val="86000"/>
            </a:schemeClr>
          </a:gs>
          <a:gs pos="100000">
            <a:schemeClr val="phClr">
              <a:shade val="60000"/>
            </a:schemeClr>
          </a:gs>
        </a:gsLst>
        <a:lin ang="8350000" scaled="1"/>
      </a:gradFill>
    </a:fillStyleLst>
    <a:lnStyleLst>
      <a:ln w="9525" cap="flat" cmpd="sng" algn="ctr">
        <a:solidFill>
          <a:schemeClr val="phClr">
            <a:shade val="48000"/>
            <a:satMod val="11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130000" dist="101600" dir="2700000" algn="tl" rotWithShape="0">
            <a:srgbClr val="000000">
              <a:alpha val="350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  <a:scene3d>
          <a:camera prst="orthographicFront" fov="0">
            <a:rot lat="0" lon="0" rev="0"/>
          </a:camera>
          <a:lightRig rig="soft" dir="tl">
            <a:rot lat="0" lon="0" rev="20100000"/>
          </a:lightRig>
        </a:scene3d>
        <a:sp3d>
          <a:bevelT w="50800" h="508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0000"/>
              <a:satMod val="180000"/>
            </a:schemeClr>
          </a:gs>
          <a:gs pos="100000">
            <a:schemeClr val="phClr">
              <a:shade val="45000"/>
              <a:satMod val="120000"/>
            </a:schemeClr>
          </a:gs>
        </a:gsLst>
        <a:path path="circle">
          <a:fillToRect r="100000" b="100000"/>
        </a:path>
      </a:gradFill>
      <a:blipFill>
        <a:blip xmlns:r="http://schemas.openxmlformats.org/officeDocument/2006/relationships" r:embed="rId1">
          <a:duotone>
            <a:schemeClr val="phClr">
              <a:shade val="3000"/>
              <a:satMod val="110000"/>
            </a:schemeClr>
            <a:schemeClr val="phClr">
              <a:tint val="60000"/>
              <a:satMod val="425000"/>
            </a:schemeClr>
          </a:duotone>
        </a:blip>
        <a:stretch>
          <a:fillRect/>
        </a:stretch>
      </a:blipFill>
    </a:bgFillStyleLst>
  </a:fmtScheme>
</a:themeOverride>
</file>

<file path=word/theme/themeOverride3.xml><?xml version="1.0" encoding="utf-8"?>
<a:themeOverride xmlns:a="http://schemas.openxmlformats.org/drawingml/2006/main">
  <a:clrScheme name="Апекс">
    <a:dk1>
      <a:sysClr val="windowText" lastClr="000000"/>
    </a:dk1>
    <a:lt1>
      <a:sysClr val="window" lastClr="FFFFFF"/>
    </a:lt1>
    <a:dk2>
      <a:srgbClr val="69676D"/>
    </a:dk2>
    <a:lt2>
      <a:srgbClr val="C9C2D1"/>
    </a:lt2>
    <a:accent1>
      <a:srgbClr val="CEB966"/>
    </a:accent1>
    <a:accent2>
      <a:srgbClr val="9CB084"/>
    </a:accent2>
    <a:accent3>
      <a:srgbClr val="6BB1C9"/>
    </a:accent3>
    <a:accent4>
      <a:srgbClr val="6585CF"/>
    </a:accent4>
    <a:accent5>
      <a:srgbClr val="7E6BC9"/>
    </a:accent5>
    <a:accent6>
      <a:srgbClr val="A379BB"/>
    </a:accent6>
    <a:hlink>
      <a:srgbClr val="410082"/>
    </a:hlink>
    <a:folHlink>
      <a:srgbClr val="932968"/>
    </a:folHlink>
  </a:clrScheme>
  <a:fontScheme name="Апекс">
    <a:majorFont>
      <a:latin typeface="Lucida Sans"/>
      <a:ea typeface=""/>
      <a:cs typeface=""/>
      <a:font script="Grek" typeface="Arial"/>
      <a:font script="Cyrl" typeface="Arial"/>
      <a:font script="Jpan" typeface="HG丸ｺﾞｼｯｸM-PRO"/>
      <a:font script="Hang" typeface="휴먼옛체"/>
      <a:font script="Hans" typeface="黑体"/>
      <a:font script="Hant" typeface="微軟正黑體"/>
      <a:font script="Arab" typeface="Tahoma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明朝B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Апекс">
    <a:fillStyleLst>
      <a:solidFill>
        <a:schemeClr val="phClr"/>
      </a:solidFill>
      <a:gradFill rotWithShape="1">
        <a:gsLst>
          <a:gs pos="20000">
            <a:schemeClr val="phClr">
              <a:tint val="9000"/>
            </a:schemeClr>
          </a:gs>
          <a:gs pos="100000">
            <a:schemeClr val="phClr">
              <a:tint val="70000"/>
              <a:satMod val="100000"/>
            </a:schemeClr>
          </a:gs>
        </a:gsLst>
        <a:path path="circle">
          <a:fillToRect l="-15000" t="-15000" r="115000" b="115000"/>
        </a:path>
      </a:gradFill>
      <a:gradFill rotWithShape="1">
        <a:gsLst>
          <a:gs pos="0">
            <a:schemeClr val="phClr">
              <a:shade val="60000"/>
            </a:schemeClr>
          </a:gs>
          <a:gs pos="33000">
            <a:schemeClr val="phClr">
              <a:tint val="86500"/>
            </a:schemeClr>
          </a:gs>
          <a:gs pos="46750">
            <a:schemeClr val="phClr">
              <a:tint val="71000"/>
              <a:satMod val="112000"/>
            </a:schemeClr>
          </a:gs>
          <a:gs pos="53000">
            <a:schemeClr val="phClr">
              <a:tint val="71000"/>
              <a:satMod val="112000"/>
            </a:schemeClr>
          </a:gs>
          <a:gs pos="68000">
            <a:schemeClr val="phClr">
              <a:tint val="86000"/>
            </a:schemeClr>
          </a:gs>
          <a:gs pos="100000">
            <a:schemeClr val="phClr">
              <a:shade val="60000"/>
            </a:schemeClr>
          </a:gs>
        </a:gsLst>
        <a:lin ang="8350000" scaled="1"/>
      </a:gradFill>
    </a:fillStyleLst>
    <a:lnStyleLst>
      <a:ln w="9525" cap="flat" cmpd="sng" algn="ctr">
        <a:solidFill>
          <a:schemeClr val="phClr">
            <a:shade val="48000"/>
            <a:satMod val="11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130000" dist="101600" dir="2700000" algn="tl" rotWithShape="0">
            <a:srgbClr val="000000">
              <a:alpha val="350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  <a:scene3d>
          <a:camera prst="orthographicFront" fov="0">
            <a:rot lat="0" lon="0" rev="0"/>
          </a:camera>
          <a:lightRig rig="soft" dir="tl">
            <a:rot lat="0" lon="0" rev="20100000"/>
          </a:lightRig>
        </a:scene3d>
        <a:sp3d>
          <a:bevelT w="50800" h="508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0000"/>
              <a:satMod val="180000"/>
            </a:schemeClr>
          </a:gs>
          <a:gs pos="100000">
            <a:schemeClr val="phClr">
              <a:shade val="45000"/>
              <a:satMod val="120000"/>
            </a:schemeClr>
          </a:gs>
        </a:gsLst>
        <a:path path="circle">
          <a:fillToRect r="100000" b="100000"/>
        </a:path>
      </a:gradFill>
      <a:blipFill>
        <a:blip xmlns:r="http://schemas.openxmlformats.org/officeDocument/2006/relationships" r:embed="rId1">
          <a:duotone>
            <a:schemeClr val="phClr">
              <a:shade val="3000"/>
              <a:satMod val="110000"/>
            </a:schemeClr>
            <a:schemeClr val="phClr">
              <a:tint val="60000"/>
              <a:satMod val="425000"/>
            </a:schemeClr>
          </a:duotone>
        </a:blip>
        <a:stretch>
          <a:fillRect/>
        </a:stretch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3B48-8B2D-4132-85BC-B96C58C9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2015-03-16T13:44:00Z</cp:lastPrinted>
  <dcterms:created xsi:type="dcterms:W3CDTF">2015-03-08T05:30:00Z</dcterms:created>
  <dcterms:modified xsi:type="dcterms:W3CDTF">2016-04-10T17:44:00Z</dcterms:modified>
</cp:coreProperties>
</file>